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left" w:pos="6720"/>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bookmarkStart w:id="0" w:name="_Hlk41145946"/>
      <w:r>
        <w:rPr>
          <w:rFonts w:hint="eastAsia" w:ascii="Arial" w:hAnsi="Arial" w:cs="Arial"/>
          <w:b/>
          <w:lang w:val="en-US" w:eastAsia="zh-CN"/>
        </w:rPr>
        <w:t>12bis</w:t>
      </w:r>
      <w:r>
        <w:rPr>
          <w:rFonts w:ascii="Arial" w:hAnsi="Arial" w:cs="Arial"/>
          <w:b/>
        </w:rPr>
        <w:tab/>
      </w:r>
      <w:r>
        <w:rPr>
          <w:rFonts w:ascii="Arial" w:hAnsi="Arial" w:cs="Arial"/>
          <w:b/>
          <w:bCs/>
        </w:rPr>
        <w:tab/>
      </w:r>
      <w:r>
        <w:rPr>
          <w:rFonts w:hint="eastAsia" w:ascii="Arial" w:hAnsi="Arial" w:cs="Arial"/>
          <w:b/>
          <w:bCs/>
          <w:lang w:val="en-US" w:eastAsia="zh-CN"/>
        </w:rPr>
        <w:tab/>
      </w:r>
      <w:r>
        <w:rPr>
          <w:rFonts w:ascii="Arial" w:hAnsi="Arial" w:cs="Arial"/>
          <w:b/>
          <w:bCs/>
        </w:rPr>
        <w:t>R4-2</w:t>
      </w:r>
      <w:bookmarkEnd w:id="0"/>
      <w:r>
        <w:rPr>
          <w:rFonts w:hint="eastAsia" w:ascii="Arial" w:hAnsi="Arial" w:cs="Arial"/>
          <w:b/>
          <w:bCs/>
          <w:lang w:val="en-US" w:eastAsia="zh-CN"/>
        </w:rPr>
        <w:t>415010</w:t>
      </w:r>
    </w:p>
    <w:p>
      <w:pPr>
        <w:pStyle w:val="16"/>
        <w:tabs>
          <w:tab w:val="right" w:pos="9781"/>
          <w:tab w:val="right" w:pos="13323"/>
          <w:tab w:val="clear" w:pos="4153"/>
          <w:tab w:val="clear" w:pos="8306"/>
        </w:tabs>
        <w:spacing w:before="60" w:after="60"/>
        <w:outlineLvl w:val="0"/>
        <w:rPr>
          <w:rFonts w:ascii="Arial" w:hAnsi="Arial" w:eastAsia="宋体" w:cs="Arial"/>
          <w:b/>
          <w:sz w:val="24"/>
          <w:szCs w:val="24"/>
          <w:highlight w:val="green"/>
          <w:lang w:eastAsia="zh-CN"/>
        </w:rPr>
      </w:pPr>
      <w:r>
        <w:rPr>
          <w:rFonts w:hint="eastAsia" w:ascii="Arial" w:hAnsi="Arial" w:eastAsia="宋体" w:cs="Arial"/>
          <w:b/>
          <w:sz w:val="24"/>
          <w:szCs w:val="24"/>
          <w:lang w:eastAsia="zh-CN"/>
        </w:rPr>
        <w:t>Hefei, Anhui, China, 14th</w:t>
      </w:r>
      <w:r>
        <w:rPr>
          <w:rFonts w:hint="eastAsia" w:ascii="Arial" w:hAnsi="Arial" w:eastAsia="宋体" w:cs="Arial"/>
          <w:b/>
          <w:sz w:val="24"/>
          <w:szCs w:val="24"/>
          <w:lang w:val="en-US" w:eastAsia="zh-CN"/>
        </w:rPr>
        <w:t xml:space="preserve"> - </w:t>
      </w:r>
      <w:r>
        <w:rPr>
          <w:rFonts w:hint="eastAsia" w:ascii="Arial" w:hAnsi="Arial" w:eastAsia="宋体" w:cs="Arial"/>
          <w:b/>
          <w:sz w:val="24"/>
          <w:szCs w:val="24"/>
          <w:lang w:eastAsia="zh-CN"/>
        </w:rPr>
        <w:t>18th October, 2024</w:t>
      </w:r>
    </w:p>
    <w:p>
      <w:pPr>
        <w:tabs>
          <w:tab w:val="left" w:pos="1765"/>
          <w:tab w:val="center" w:pos="4557"/>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6.26.4.2</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rFonts w:hint="default"/>
          <w:sz w:val="22"/>
          <w:lang w:val="en-US"/>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lang w:val="en-US" w:eastAsia="zh-CN"/>
        </w:rPr>
        <w:t xml:space="preserve">  (NR_NTN_Ph3-Core) </w:t>
      </w:r>
      <w:r>
        <w:rPr>
          <w:rFonts w:hint="eastAsia"/>
          <w:sz w:val="22"/>
        </w:rPr>
        <w:t>Discussion on the RRM requirement for NTN phase3</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sz w:val="20"/>
          <w:szCs w:val="20"/>
          <w:lang w:val="en-US" w:eastAsia="zh-CN"/>
        </w:rPr>
      </w:pPr>
      <w:r>
        <w:rPr>
          <w:rFonts w:hint="eastAsia"/>
          <w:sz w:val="20"/>
          <w:szCs w:val="20"/>
          <w:lang w:val="en-US" w:eastAsia="zh-CN"/>
        </w:rPr>
        <w:t xml:space="preserve">In last meeting, RAN4 first identified that the objectives DL coverage enhancement and support of regenerative payload have RAN4 impact. The WF has been approved in [1]. </w:t>
      </w:r>
      <w:r>
        <w:rPr>
          <w:rFonts w:eastAsia="等线"/>
          <w:sz w:val="20"/>
          <w:szCs w:val="20"/>
        </w:rPr>
        <w:t xml:space="preserve">In this contribution, we </w:t>
      </w:r>
      <w:r>
        <w:rPr>
          <w:rFonts w:hint="eastAsia" w:eastAsia="等线"/>
          <w:sz w:val="20"/>
          <w:szCs w:val="20"/>
          <w:lang w:val="en-US" w:eastAsia="zh-CN"/>
        </w:rPr>
        <w:t xml:space="preserve">further </w:t>
      </w:r>
      <w:r>
        <w:rPr>
          <w:rFonts w:eastAsia="等线"/>
          <w:sz w:val="20"/>
          <w:szCs w:val="20"/>
        </w:rPr>
        <w:t>discuss the RRM impact</w:t>
      </w:r>
      <w:r>
        <w:rPr>
          <w:rFonts w:hint="eastAsia" w:eastAsia="等线"/>
          <w:sz w:val="20"/>
          <w:szCs w:val="20"/>
          <w:lang w:val="en-US" w:eastAsia="zh-CN"/>
        </w:rPr>
        <w:t xml:space="preserve"> and requirements</w:t>
      </w:r>
      <w:r>
        <w:rPr>
          <w:rFonts w:eastAsia="等线"/>
          <w:sz w:val="20"/>
          <w:szCs w:val="20"/>
        </w:rPr>
        <w:t>.</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bookmarkStart w:id="5" w:name="_Hlk70326378"/>
      <w:bookmarkStart w:id="6" w:name="OLE_LINK1"/>
      <w:bookmarkStart w:id="7" w:name="OLE_LINK2"/>
      <w:r>
        <w:rPr>
          <w:rFonts w:hint="eastAsia" w:ascii="Times New Roman" w:hAnsi="Times New Roman"/>
          <w:b w:val="0"/>
          <w:bCs w:val="0"/>
          <w:kern w:val="0"/>
          <w:sz w:val="36"/>
          <w:szCs w:val="36"/>
          <w:lang w:val="en-US" w:eastAsia="zh-CN"/>
        </w:rPr>
        <w:t>Downlink coverage enhancements</w:t>
      </w:r>
    </w:p>
    <w:p>
      <w:pPr>
        <w:outlineLvl w:val="9"/>
        <w:rPr>
          <w:rFonts w:hint="eastAsia"/>
          <w:b/>
          <w:i/>
          <w:iCs/>
          <w:sz w:val="20"/>
          <w:szCs w:val="20"/>
          <w:highlight w:val="none"/>
          <w:u w:val="single"/>
          <w:lang w:val="en-US" w:eastAsia="zh-CN"/>
        </w:rPr>
      </w:pPr>
      <w:bookmarkStart w:id="8" w:name="_Hlk147849822"/>
      <w:r>
        <w:rPr>
          <w:rFonts w:hint="eastAsia"/>
          <w:b/>
          <w:i/>
          <w:iCs/>
          <w:sz w:val="20"/>
          <w:szCs w:val="20"/>
          <w:highlight w:val="none"/>
          <w:u w:val="single"/>
          <w:lang w:val="en-US" w:eastAsia="ko-KR"/>
        </w:rPr>
        <w:t xml:space="preserve">Issue </w:t>
      </w:r>
      <w:r>
        <w:rPr>
          <w:rFonts w:hint="eastAsia"/>
          <w:b/>
          <w:i/>
          <w:iCs/>
          <w:sz w:val="20"/>
          <w:szCs w:val="20"/>
          <w:highlight w:val="none"/>
          <w:u w:val="single"/>
          <w:lang w:val="en-US" w:eastAsia="zh-CN"/>
        </w:rPr>
        <w:t>2</w:t>
      </w:r>
      <w:r>
        <w:rPr>
          <w:rFonts w:hint="eastAsia"/>
          <w:b/>
          <w:i/>
          <w:iCs/>
          <w:sz w:val="20"/>
          <w:szCs w:val="20"/>
          <w:highlight w:val="none"/>
          <w:u w:val="single"/>
          <w:lang w:val="en-US" w:eastAsia="ko-KR"/>
        </w:rPr>
        <w:t xml:space="preserve">-1-1: RRM impact </w:t>
      </w:r>
      <w:r>
        <w:rPr>
          <w:rFonts w:hint="eastAsia"/>
          <w:b/>
          <w:i/>
          <w:iCs/>
          <w:sz w:val="20"/>
          <w:szCs w:val="20"/>
          <w:highlight w:val="none"/>
          <w:u w:val="single"/>
          <w:lang w:val="en-US" w:eastAsia="zh-CN"/>
        </w:rPr>
        <w:t>of</w:t>
      </w:r>
      <w:r>
        <w:rPr>
          <w:rFonts w:hint="eastAsia"/>
          <w:b/>
          <w:i/>
          <w:iCs/>
          <w:sz w:val="20"/>
          <w:szCs w:val="20"/>
          <w:highlight w:val="none"/>
          <w:u w:val="single"/>
          <w:lang w:val="en-US" w:eastAsia="ko-KR"/>
        </w:rPr>
        <w:t xml:space="preserve"> SSB periodicity enhancement</w:t>
      </w:r>
    </w:p>
    <w:p>
      <w:pPr>
        <w:outlineLvl w:val="9"/>
        <w:rPr>
          <w:rFonts w:hint="eastAsia"/>
          <w:b/>
          <w:bCs w:val="0"/>
          <w:i/>
          <w:iCs/>
          <w:sz w:val="20"/>
          <w:szCs w:val="20"/>
          <w:highlight w:val="none"/>
          <w:u w:val="none"/>
          <w:lang w:val="en-GB" w:eastAsia="zh-CN"/>
        </w:rPr>
      </w:pPr>
      <w:r>
        <w:rPr>
          <w:rFonts w:hint="eastAsia"/>
          <w:b/>
          <w:bCs w:val="0"/>
          <w:i/>
          <w:iCs/>
          <w:sz w:val="20"/>
          <w:szCs w:val="20"/>
          <w:highlight w:val="none"/>
          <w:u w:val="none"/>
          <w:lang w:val="en-US" w:eastAsia="ko-KR"/>
        </w:rPr>
        <w:t xml:space="preserve">&lt;Way Forward&gt; </w:t>
      </w:r>
      <w:r>
        <w:rPr>
          <w:rFonts w:hint="eastAsia"/>
          <w:b/>
          <w:bCs w:val="0"/>
          <w:i/>
          <w:iCs/>
          <w:sz w:val="20"/>
          <w:szCs w:val="20"/>
          <w:highlight w:val="none"/>
          <w:u w:val="none"/>
          <w:lang w:val="en-US" w:eastAsia="zh-CN"/>
        </w:rPr>
        <w:t>:</w:t>
      </w:r>
      <w:r>
        <w:rPr>
          <w:rFonts w:hint="eastAsia"/>
          <w:b/>
          <w:bCs w:val="0"/>
          <w:i/>
          <w:iCs/>
          <w:sz w:val="20"/>
          <w:szCs w:val="20"/>
          <w:highlight w:val="none"/>
          <w:u w:val="none"/>
          <w:lang w:val="en-US" w:eastAsia="ko-KR"/>
        </w:rPr>
        <w:t xml:space="preserve"> Further discuss the following proposal</w:t>
      </w:r>
    </w:p>
    <w:p>
      <w:pPr>
        <w:numPr>
          <w:ilvl w:val="0"/>
          <w:numId w:val="6"/>
        </w:numPr>
        <w:spacing w:after="120"/>
        <w:ind w:left="720"/>
        <w:contextualSpacing w:val="0"/>
        <w:rPr>
          <w:rFonts w:ascii="Times New Roman" w:hAnsi="Times New Roman" w:eastAsia="宋体" w:cs="Times New Roman"/>
          <w:i/>
          <w:iCs/>
          <w:sz w:val="20"/>
          <w:szCs w:val="20"/>
          <w:lang w:val="en-US" w:eastAsia="zh-CN" w:bidi="ar-SA"/>
        </w:rPr>
      </w:pPr>
      <w:r>
        <w:rPr>
          <w:rFonts w:ascii="Times New Roman" w:hAnsi="Times New Roman" w:eastAsia="宋体" w:cs="Times New Roman"/>
          <w:i/>
          <w:iCs/>
          <w:sz w:val="20"/>
          <w:szCs w:val="20"/>
          <w:lang w:val="en-US" w:eastAsia="zh-CN" w:bidi="ar-SA"/>
        </w:rPr>
        <w:t>Proposal 1 (</w:t>
      </w:r>
      <w:r>
        <w:rPr>
          <w:rFonts w:hint="eastAsia" w:ascii="Times New Roman" w:hAnsi="Times New Roman" w:eastAsia="宋体" w:cs="Times New Roman"/>
          <w:i/>
          <w:iCs/>
          <w:sz w:val="20"/>
          <w:szCs w:val="20"/>
          <w:lang w:val="en-US" w:eastAsia="zh-CN" w:bidi="ar-SA"/>
        </w:rPr>
        <w:t>CATT, Apple, Xiaomi,</w:t>
      </w:r>
      <w:r>
        <w:rPr>
          <w:rFonts w:ascii="Times New Roman" w:hAnsi="Times New Roman" w:eastAsia="宋体" w:cs="Times New Roman"/>
          <w:i/>
          <w:iCs/>
          <w:sz w:val="20"/>
          <w:szCs w:val="20"/>
          <w:lang w:val="en-US" w:eastAsia="zh-CN" w:bidi="ar-SA"/>
        </w:rPr>
        <w:t xml:space="preserve"> Samsung</w:t>
      </w:r>
      <w:r>
        <w:rPr>
          <w:rFonts w:hint="eastAsia" w:ascii="Times New Roman" w:hAnsi="Times New Roman" w:eastAsia="宋体" w:cs="Times New Roman"/>
          <w:i/>
          <w:iCs/>
          <w:sz w:val="20"/>
          <w:szCs w:val="20"/>
          <w:lang w:val="en-US" w:eastAsia="zh-CN" w:bidi="ar-SA"/>
        </w:rPr>
        <w:t>,</w:t>
      </w:r>
      <w:r>
        <w:rPr>
          <w:rFonts w:ascii="Times New Roman" w:hAnsi="Times New Roman" w:eastAsia="宋体" w:cs="Times New Roman"/>
          <w:i/>
          <w:iCs/>
          <w:sz w:val="20"/>
          <w:szCs w:val="20"/>
          <w:lang w:val="en-US" w:eastAsia="zh-CN" w:bidi="ar-SA"/>
        </w:rPr>
        <w:t xml:space="preserve"> HW,</w:t>
      </w:r>
      <w:r>
        <w:rPr>
          <w:rFonts w:hint="eastAsia" w:ascii="Times New Roman" w:hAnsi="Times New Roman" w:eastAsia="宋体" w:cs="Times New Roman"/>
          <w:i/>
          <w:iCs/>
          <w:sz w:val="20"/>
          <w:szCs w:val="20"/>
          <w:lang w:val="en-US" w:eastAsia="zh-CN" w:bidi="ar-SA"/>
        </w:rPr>
        <w:t xml:space="preserve"> QC</w:t>
      </w:r>
      <w:r>
        <w:rPr>
          <w:rFonts w:ascii="Times New Roman" w:hAnsi="Times New Roman" w:eastAsia="宋体" w:cs="Times New Roman"/>
          <w:i/>
          <w:iCs/>
          <w:sz w:val="20"/>
          <w:szCs w:val="20"/>
          <w:lang w:val="en-US" w:eastAsia="zh-CN" w:bidi="ar-SA"/>
        </w:rPr>
        <w:t xml:space="preserve">): </w:t>
      </w:r>
    </w:p>
    <w:p>
      <w:pPr>
        <w:numPr>
          <w:ilvl w:val="1"/>
          <w:numId w:val="6"/>
        </w:numPr>
        <w:spacing w:after="120"/>
        <w:ind w:left="1440"/>
        <w:contextualSpacing w:val="0"/>
        <w:rPr>
          <w:rFonts w:ascii="Times New Roman" w:hAnsi="Times New Roman" w:eastAsia="宋体" w:cs="Times New Roman"/>
          <w:i/>
          <w:iCs/>
          <w:sz w:val="20"/>
          <w:szCs w:val="20"/>
          <w:lang w:val="en-US" w:eastAsia="zh-CN" w:bidi="ar-SA"/>
        </w:rPr>
      </w:pPr>
      <w:r>
        <w:rPr>
          <w:rFonts w:ascii="Times New Roman" w:hAnsi="Times New Roman" w:eastAsia="宋体" w:cs="Times New Roman"/>
          <w:i/>
          <w:iCs/>
          <w:sz w:val="20"/>
          <w:szCs w:val="20"/>
          <w:lang w:val="en-US" w:eastAsia="zh-CN" w:bidi="ar-SA"/>
        </w:rPr>
        <w:t xml:space="preserve">RAN4 to wait for more progress from RAN1/2 on SSB periodicity extension and other possible system level enhancements to discuss the RRM impacts of DL coverage enhancement. </w:t>
      </w:r>
    </w:p>
    <w:p>
      <w:pPr>
        <w:numPr>
          <w:ilvl w:val="1"/>
          <w:numId w:val="6"/>
        </w:numPr>
        <w:spacing w:after="120"/>
        <w:ind w:left="1440"/>
        <w:contextualSpacing w:val="0"/>
        <w:rPr>
          <w:rFonts w:ascii="Times New Roman" w:hAnsi="Times New Roman" w:eastAsia="宋体" w:cs="Times New Roman"/>
          <w:i/>
          <w:iCs/>
          <w:sz w:val="20"/>
          <w:szCs w:val="20"/>
          <w:lang w:val="en-US" w:eastAsia="zh-CN" w:bidi="ar-SA"/>
        </w:rPr>
      </w:pPr>
      <w:r>
        <w:rPr>
          <w:rFonts w:ascii="Times New Roman" w:hAnsi="Times New Roman" w:eastAsia="宋体" w:cs="Times New Roman"/>
          <w:i/>
          <w:iCs/>
          <w:sz w:val="20"/>
          <w:szCs w:val="20"/>
          <w:lang w:val="en-US" w:eastAsia="zh-CN" w:bidi="ar-SA"/>
        </w:rPr>
        <w:t xml:space="preserve">Proposal </w:t>
      </w:r>
      <w:r>
        <w:rPr>
          <w:rFonts w:hint="eastAsia" w:ascii="Times New Roman" w:hAnsi="Times New Roman" w:eastAsia="宋体" w:cs="Times New Roman"/>
          <w:i/>
          <w:iCs/>
          <w:sz w:val="20"/>
          <w:szCs w:val="20"/>
          <w:lang w:val="en-US" w:eastAsia="zh-CN" w:bidi="ar-SA"/>
        </w:rPr>
        <w:t>1a</w:t>
      </w:r>
      <w:r>
        <w:rPr>
          <w:rFonts w:ascii="Times New Roman" w:hAnsi="Times New Roman" w:eastAsia="宋体" w:cs="Times New Roman"/>
          <w:i/>
          <w:iCs/>
          <w:sz w:val="20"/>
          <w:szCs w:val="20"/>
          <w:lang w:val="en-US" w:eastAsia="zh-CN" w:bidi="ar-SA"/>
        </w:rPr>
        <w:t xml:space="preserve"> (Samsung): </w:t>
      </w:r>
    </w:p>
    <w:p>
      <w:pPr>
        <w:numPr>
          <w:ilvl w:val="2"/>
          <w:numId w:val="6"/>
        </w:numPr>
        <w:spacing w:after="0"/>
        <w:ind w:left="1956" w:hanging="360"/>
        <w:contextualSpacing w:val="0"/>
        <w:rPr>
          <w:rFonts w:ascii="Times New Roman" w:hAnsi="Times New Roman" w:eastAsia="宋体" w:cs="Times New Roman"/>
          <w:i/>
          <w:iCs/>
          <w:sz w:val="20"/>
          <w:szCs w:val="20"/>
          <w:lang w:val="en-US" w:eastAsia="zh-CN" w:bidi="ar-SA"/>
        </w:rPr>
      </w:pPr>
      <w:r>
        <w:rPr>
          <w:rFonts w:ascii="Times New Roman" w:hAnsi="Times New Roman" w:eastAsia="宋体" w:cs="Times New Roman"/>
          <w:i/>
          <w:iCs/>
          <w:sz w:val="20"/>
          <w:szCs w:val="20"/>
          <w:lang w:val="en-US" w:eastAsia="zh-CN" w:bidi="ar-SA"/>
        </w:rPr>
        <w:t>If SSB periodicity is extended, almost all RRM requirements should be impacted including idle mode/inactive mode and connected mode such as: cell (re)-selection, L3 measurement/L1 measurement and so on. Need further RAN1 conclusion on whether SSB periodicity is changed.</w:t>
      </w:r>
    </w:p>
    <w:p>
      <w:pPr>
        <w:numPr>
          <w:ilvl w:val="1"/>
          <w:numId w:val="6"/>
        </w:numPr>
        <w:spacing w:after="120"/>
        <w:ind w:left="1440"/>
        <w:contextualSpacing w:val="0"/>
        <w:rPr>
          <w:rFonts w:ascii="Times New Roman" w:hAnsi="Times New Roman" w:eastAsia="宋体" w:cs="Times New Roman"/>
          <w:i/>
          <w:iCs/>
          <w:sz w:val="20"/>
          <w:szCs w:val="20"/>
          <w:lang w:val="en-US" w:eastAsia="zh-CN" w:bidi="ar-SA"/>
        </w:rPr>
      </w:pPr>
      <w:r>
        <w:rPr>
          <w:rFonts w:ascii="Times New Roman" w:hAnsi="Times New Roman" w:eastAsia="宋体" w:cs="Times New Roman"/>
          <w:i/>
          <w:iCs/>
          <w:sz w:val="20"/>
          <w:szCs w:val="20"/>
          <w:lang w:val="en-US" w:eastAsia="zh-CN" w:bidi="ar-SA"/>
        </w:rPr>
        <w:t xml:space="preserve">Proposal </w:t>
      </w:r>
      <w:r>
        <w:rPr>
          <w:rFonts w:hint="eastAsia" w:ascii="Times New Roman" w:hAnsi="Times New Roman" w:eastAsia="宋体" w:cs="Times New Roman"/>
          <w:i/>
          <w:iCs/>
          <w:sz w:val="20"/>
          <w:szCs w:val="20"/>
          <w:lang w:val="en-US" w:eastAsia="zh-CN" w:bidi="ar-SA"/>
        </w:rPr>
        <w:t>1b</w:t>
      </w:r>
      <w:r>
        <w:rPr>
          <w:rFonts w:ascii="Times New Roman" w:hAnsi="Times New Roman" w:eastAsia="宋体" w:cs="Times New Roman"/>
          <w:i/>
          <w:iCs/>
          <w:sz w:val="20"/>
          <w:szCs w:val="20"/>
          <w:lang w:val="en-US" w:eastAsia="zh-CN" w:bidi="ar-SA"/>
        </w:rPr>
        <w:t xml:space="preserve"> (Ericsson): RAN4 to check if RRM requirements could be impacted by scaled measurement time delay due to extension of SSB/SMTC periodicity.</w:t>
      </w:r>
    </w:p>
    <w:p>
      <w:pPr>
        <w:numPr>
          <w:ilvl w:val="2"/>
          <w:numId w:val="6"/>
        </w:numPr>
        <w:spacing w:after="0"/>
        <w:ind w:left="1956" w:hanging="360"/>
        <w:contextualSpacing w:val="0"/>
        <w:rPr>
          <w:rFonts w:ascii="Times New Roman" w:hAnsi="Times New Roman" w:eastAsia="宋体" w:cs="Times New Roman"/>
          <w:i/>
          <w:iCs/>
          <w:sz w:val="20"/>
          <w:szCs w:val="20"/>
          <w:lang w:val="en-US" w:eastAsia="zh-CN" w:bidi="ar-SA"/>
        </w:rPr>
      </w:pPr>
      <w:r>
        <w:rPr>
          <w:rFonts w:ascii="Times New Roman" w:hAnsi="Times New Roman" w:eastAsia="宋体" w:cs="Times New Roman"/>
          <w:i/>
          <w:iCs/>
          <w:sz w:val="20"/>
          <w:szCs w:val="20"/>
          <w:lang w:val="en-US" w:eastAsia="zh-CN" w:bidi="ar-SA"/>
        </w:rPr>
        <w:t xml:space="preserve">RAN4 to check if RRM requirements could be impacted by SSB periodicity extension to a value larger than 20ms during cell search, including the remaining physical channels and signals (e.g., SIB, paging, etc.).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For downlink coverage enhancements, following agreement from RAN1 and RAN2 has been achieved in last meeting, we list here for information:</w:t>
      </w:r>
    </w:p>
    <w:tbl>
      <w:tblPr>
        <w:tblStyle w:val="21"/>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5" w:type="dxa"/>
          </w:tcPr>
          <w:p>
            <w:pPr>
              <w:keepNext w:val="0"/>
              <w:keepLines w:val="0"/>
              <w:pageBreakBefore w:val="0"/>
              <w:widowControl/>
              <w:kinsoku/>
              <w:wordWrap/>
              <w:overflowPunct/>
              <w:topLinePunct w:val="0"/>
              <w:autoSpaceDE/>
              <w:autoSpaceDN/>
              <w:bidi w:val="0"/>
              <w:adjustRightInd/>
              <w:snapToGrid/>
              <w:jc w:val="both"/>
              <w:textAlignment w:val="auto"/>
              <w:rPr>
                <w:rFonts w:hint="default" w:ascii="Times New Roman" w:hAnsi="Times New Roman" w:eastAsiaTheme="minorEastAsia"/>
                <w:b/>
                <w:bCs w:val="0"/>
                <w:sz w:val="20"/>
                <w:szCs w:val="20"/>
                <w:lang w:val="en-US" w:eastAsia="zh-CN"/>
              </w:rPr>
            </w:pPr>
            <w:r>
              <w:rPr>
                <w:rFonts w:ascii="Times New Roman" w:hAnsi="Times New Roman"/>
                <w:b/>
                <w:bCs w:val="0"/>
                <w:sz w:val="20"/>
                <w:szCs w:val="20"/>
                <w:highlight w:val="green"/>
                <w:lang w:val="en-US"/>
              </w:rPr>
              <w:t>Agreement</w:t>
            </w:r>
            <w:r>
              <w:rPr>
                <w:rFonts w:hint="eastAsia"/>
                <w:b/>
                <w:bCs w:val="0"/>
                <w:sz w:val="20"/>
                <w:szCs w:val="20"/>
                <w:highlight w:val="green"/>
                <w:lang w:val="en-US" w:eastAsia="zh-CN"/>
              </w:rPr>
              <w:t xml:space="preserve"> from RAN1</w:t>
            </w:r>
          </w:p>
          <w:p>
            <w:pPr>
              <w:keepNext w:val="0"/>
              <w:keepLines w:val="0"/>
              <w:pageBreakBefore w:val="0"/>
              <w:widowControl/>
              <w:kinsoku/>
              <w:wordWrap/>
              <w:overflowPunct/>
              <w:topLinePunct w:val="0"/>
              <w:autoSpaceDE/>
              <w:autoSpaceDN/>
              <w:bidi w:val="0"/>
              <w:adjustRightInd/>
              <w:snapToGrid/>
              <w:jc w:val="both"/>
              <w:textAlignment w:val="auto"/>
              <w:rPr>
                <w:rFonts w:ascii="Times New Roman" w:hAnsi="Times New Roman" w:eastAsia="Batang"/>
                <w:sz w:val="20"/>
                <w:szCs w:val="20"/>
                <w:lang w:val="en-US" w:eastAsia="en-US"/>
              </w:rPr>
            </w:pPr>
            <w:r>
              <w:rPr>
                <w:rFonts w:ascii="Times New Roman" w:hAnsi="Times New Roman" w:eastAsia="Batang"/>
                <w:sz w:val="20"/>
                <w:szCs w:val="20"/>
                <w:lang w:val="en-US" w:eastAsia="en-US"/>
              </w:rPr>
              <w:t>As part of the NTN DL coverage enhancements at both system level and link level, RAN1 to consider:</w:t>
            </w:r>
          </w:p>
          <w:p>
            <w:pPr>
              <w:keepNext w:val="0"/>
              <w:keepLines w:val="0"/>
              <w:pageBreakBefore w:val="0"/>
              <w:widowControl/>
              <w:numPr>
                <w:ilvl w:val="0"/>
                <w:numId w:val="7"/>
              </w:numPr>
              <w:suppressAutoHyphens/>
              <w:kinsoku/>
              <w:wordWrap/>
              <w:overflowPunct/>
              <w:topLinePunct w:val="0"/>
              <w:autoSpaceDE/>
              <w:autoSpaceDN/>
              <w:bidi w:val="0"/>
              <w:adjustRightInd/>
              <w:snapToGrid/>
              <w:ind w:left="720" w:leftChars="0" w:hanging="360"/>
              <w:jc w:val="both"/>
              <w:textAlignment w:val="auto"/>
              <w:rPr>
                <w:rFonts w:ascii="Times New Roman" w:hAnsi="Times New Roman" w:eastAsia="Batang" w:cs="Times New Roman"/>
                <w:bCs/>
                <w:sz w:val="20"/>
                <w:szCs w:val="20"/>
                <w:lang w:val="en-GB" w:eastAsia="zh-CN" w:bidi="ar-SA"/>
              </w:rPr>
            </w:pPr>
            <w:r>
              <w:rPr>
                <w:rFonts w:ascii="Times New Roman" w:hAnsi="Times New Roman" w:eastAsia="Batang" w:cs="Times New Roman"/>
                <w:bCs/>
                <w:sz w:val="20"/>
                <w:szCs w:val="20"/>
                <w:lang w:val="en-GB" w:eastAsia="zh-CN" w:bidi="ar-SA"/>
              </w:rPr>
              <w:t xml:space="preserve">Extending the periodicity of the half frames with SS/PBCH blocks assumed by UE during initial access. </w:t>
            </w:r>
          </w:p>
          <w:p>
            <w:pPr>
              <w:keepNext w:val="0"/>
              <w:keepLines w:val="0"/>
              <w:pageBreakBefore w:val="0"/>
              <w:widowControl/>
              <w:numPr>
                <w:ilvl w:val="1"/>
                <w:numId w:val="8"/>
              </w:numPr>
              <w:suppressAutoHyphens/>
              <w:kinsoku/>
              <w:wordWrap/>
              <w:overflowPunct/>
              <w:topLinePunct w:val="0"/>
              <w:autoSpaceDE/>
              <w:autoSpaceDN/>
              <w:bidi w:val="0"/>
              <w:adjustRightInd/>
              <w:snapToGrid/>
              <w:ind w:left="1440" w:leftChars="0" w:hanging="360"/>
              <w:jc w:val="both"/>
              <w:textAlignment w:val="auto"/>
              <w:rPr>
                <w:rFonts w:ascii="Times New Roman" w:hAnsi="Times New Roman" w:eastAsia="Batang" w:cs="Times New Roman"/>
                <w:sz w:val="20"/>
                <w:szCs w:val="20"/>
                <w:lang w:val="en-GB" w:eastAsia="zh-CN" w:bidi="ar-SA"/>
              </w:rPr>
            </w:pPr>
            <w:r>
              <w:rPr>
                <w:rFonts w:ascii="Times New Roman" w:hAnsi="Times New Roman" w:eastAsia="Batang" w:cs="Times New Roman"/>
                <w:sz w:val="20"/>
                <w:szCs w:val="20"/>
                <w:lang w:val="en-GB" w:eastAsia="zh-CN" w:bidi="ar-SA"/>
              </w:rPr>
              <w:t>Default value[s] with extended periodicity assumed by NTN UE for initial access can be:</w:t>
            </w:r>
          </w:p>
          <w:p>
            <w:pPr>
              <w:keepNext w:val="0"/>
              <w:keepLines w:val="0"/>
              <w:pageBreakBefore w:val="0"/>
              <w:widowControl/>
              <w:numPr>
                <w:ilvl w:val="2"/>
                <w:numId w:val="8"/>
              </w:numPr>
              <w:suppressAutoHyphens/>
              <w:kinsoku/>
              <w:wordWrap/>
              <w:overflowPunct/>
              <w:topLinePunct w:val="0"/>
              <w:autoSpaceDE/>
              <w:autoSpaceDN/>
              <w:bidi w:val="0"/>
              <w:adjustRightInd/>
              <w:snapToGrid/>
              <w:ind w:left="2160" w:leftChars="0" w:hanging="360"/>
              <w:jc w:val="both"/>
              <w:textAlignment w:val="auto"/>
              <w:rPr>
                <w:rFonts w:ascii="Times New Roman" w:hAnsi="Times New Roman" w:eastAsia="Batang" w:cs="Times New Roman"/>
                <w:sz w:val="20"/>
                <w:szCs w:val="20"/>
                <w:lang w:val="en-GB" w:eastAsia="zh-CN" w:bidi="ar-SA"/>
              </w:rPr>
            </w:pPr>
            <w:r>
              <w:rPr>
                <w:rFonts w:ascii="Times New Roman" w:hAnsi="Times New Roman" w:eastAsia="Batang" w:cs="Times New Roman"/>
                <w:sz w:val="20"/>
                <w:szCs w:val="20"/>
                <w:lang w:val="en-GB" w:eastAsia="zh-CN" w:bidi="ar-SA"/>
              </w:rPr>
              <w:t xml:space="preserve">One [or more] values from the list {40ms, 80 ms, 160 ms, 320ms, 640ms} </w:t>
            </w:r>
          </w:p>
          <w:p>
            <w:pPr>
              <w:keepNext w:val="0"/>
              <w:keepLines w:val="0"/>
              <w:pageBreakBefore w:val="0"/>
              <w:widowControl/>
              <w:numPr>
                <w:ilvl w:val="0"/>
                <w:numId w:val="7"/>
              </w:numPr>
              <w:suppressAutoHyphens/>
              <w:kinsoku/>
              <w:wordWrap/>
              <w:overflowPunct/>
              <w:topLinePunct w:val="0"/>
              <w:autoSpaceDE/>
              <w:autoSpaceDN/>
              <w:bidi w:val="0"/>
              <w:adjustRightInd/>
              <w:snapToGrid/>
              <w:ind w:left="720" w:leftChars="0" w:hanging="360"/>
              <w:jc w:val="both"/>
              <w:textAlignment w:val="auto"/>
              <w:rPr>
                <w:rFonts w:ascii="Times New Roman" w:hAnsi="Times New Roman" w:eastAsia="Batang" w:cs="Times New Roman"/>
                <w:bCs/>
                <w:sz w:val="20"/>
                <w:szCs w:val="20"/>
                <w:lang w:val="en-GB" w:eastAsia="zh-CN" w:bidi="ar-SA"/>
              </w:rPr>
            </w:pPr>
            <w:r>
              <w:rPr>
                <w:rFonts w:ascii="Times New Roman" w:hAnsi="Times New Roman" w:eastAsia="Batang" w:cs="Times New Roman"/>
                <w:bCs/>
                <w:sz w:val="20"/>
                <w:szCs w:val="20"/>
                <w:lang w:val="en-GB" w:eastAsia="zh-CN" w:bidi="ar-SA"/>
              </w:rPr>
              <w:t>Potential enhancements for transmitting the DL common channels using a wider beam footprint, while DL/UL dedicated channels (incl. PRACH) may be transmitted using a narrower beam footprint</w:t>
            </w:r>
          </w:p>
          <w:p>
            <w:pPr>
              <w:keepNext w:val="0"/>
              <w:keepLines w:val="0"/>
              <w:pageBreakBefore w:val="0"/>
              <w:widowControl/>
              <w:numPr>
                <w:ilvl w:val="0"/>
                <w:numId w:val="7"/>
              </w:numPr>
              <w:suppressAutoHyphens/>
              <w:kinsoku/>
              <w:wordWrap/>
              <w:overflowPunct/>
              <w:topLinePunct w:val="0"/>
              <w:autoSpaceDE/>
              <w:autoSpaceDN/>
              <w:bidi w:val="0"/>
              <w:adjustRightInd/>
              <w:snapToGrid/>
              <w:ind w:left="720" w:leftChars="0" w:hanging="360"/>
              <w:jc w:val="both"/>
              <w:textAlignment w:val="auto"/>
              <w:rPr>
                <w:rFonts w:ascii="Times New Roman" w:hAnsi="Times New Roman" w:eastAsia="Batang" w:cs="Times New Roman"/>
                <w:bCs/>
                <w:sz w:val="20"/>
                <w:szCs w:val="20"/>
                <w:lang w:val="en-GB" w:eastAsia="zh-CN" w:bidi="ar-SA"/>
              </w:rPr>
            </w:pPr>
            <w:r>
              <w:rPr>
                <w:rFonts w:ascii="Times New Roman" w:hAnsi="Times New Roman" w:eastAsia="Batang" w:cs="Times New Roman"/>
                <w:bCs/>
                <w:sz w:val="20"/>
                <w:szCs w:val="20"/>
                <w:lang w:val="en-GB" w:eastAsia="zh-CN" w:bidi="ar-SA"/>
              </w:rPr>
              <w:t>Link-level enhancements for the following channels:</w:t>
            </w:r>
          </w:p>
          <w:p>
            <w:pPr>
              <w:keepNext w:val="0"/>
              <w:keepLines w:val="0"/>
              <w:pageBreakBefore w:val="0"/>
              <w:widowControl/>
              <w:numPr>
                <w:ilvl w:val="0"/>
                <w:numId w:val="9"/>
              </w:numPr>
              <w:suppressAutoHyphens/>
              <w:kinsoku/>
              <w:wordWrap/>
              <w:overflowPunct/>
              <w:topLinePunct w:val="0"/>
              <w:autoSpaceDE/>
              <w:autoSpaceDN/>
              <w:bidi w:val="0"/>
              <w:adjustRightInd/>
              <w:snapToGrid/>
              <w:ind w:left="846" w:hanging="420"/>
              <w:jc w:val="both"/>
              <w:textAlignment w:val="auto"/>
              <w:rPr>
                <w:rFonts w:ascii="Times New Roman" w:hAnsi="Times New Roman" w:eastAsia="Batang"/>
                <w:bCs/>
                <w:sz w:val="20"/>
                <w:szCs w:val="20"/>
                <w:lang w:val="en-GB" w:eastAsia="en-US"/>
              </w:rPr>
            </w:pPr>
            <w:r>
              <w:rPr>
                <w:rFonts w:ascii="Times New Roman" w:hAnsi="Times New Roman" w:eastAsia="Batang"/>
                <w:bCs/>
                <w:sz w:val="20"/>
                <w:szCs w:val="20"/>
                <w:lang w:val="en-GB" w:eastAsia="en-US"/>
              </w:rPr>
              <w:t xml:space="preserve">PDCCH </w:t>
            </w:r>
          </w:p>
          <w:p>
            <w:pPr>
              <w:keepNext w:val="0"/>
              <w:keepLines w:val="0"/>
              <w:pageBreakBefore w:val="0"/>
              <w:widowControl/>
              <w:numPr>
                <w:ilvl w:val="0"/>
                <w:numId w:val="9"/>
              </w:numPr>
              <w:suppressAutoHyphens/>
              <w:kinsoku/>
              <w:wordWrap/>
              <w:overflowPunct/>
              <w:topLinePunct w:val="0"/>
              <w:autoSpaceDE/>
              <w:autoSpaceDN/>
              <w:bidi w:val="0"/>
              <w:adjustRightInd/>
              <w:snapToGrid/>
              <w:ind w:left="846" w:hanging="420"/>
              <w:jc w:val="both"/>
              <w:textAlignment w:val="auto"/>
              <w:rPr>
                <w:rFonts w:ascii="Times New Roman" w:hAnsi="Times New Roman" w:eastAsia="Batang"/>
                <w:bCs/>
                <w:sz w:val="20"/>
                <w:szCs w:val="20"/>
                <w:lang w:val="en-GB" w:eastAsia="en-US"/>
              </w:rPr>
            </w:pPr>
            <w:r>
              <w:rPr>
                <w:rFonts w:ascii="Times New Roman" w:hAnsi="Times New Roman" w:eastAsia="Batang"/>
                <w:bCs/>
                <w:sz w:val="20"/>
                <w:szCs w:val="20"/>
                <w:lang w:val="en-GB" w:eastAsia="en-US"/>
              </w:rPr>
              <w:t xml:space="preserve">PDSCH with Msg 4 </w:t>
            </w:r>
          </w:p>
          <w:p>
            <w:pPr>
              <w:keepNext w:val="0"/>
              <w:keepLines w:val="0"/>
              <w:pageBreakBefore w:val="0"/>
              <w:widowControl/>
              <w:numPr>
                <w:ilvl w:val="0"/>
                <w:numId w:val="9"/>
              </w:numPr>
              <w:suppressAutoHyphens/>
              <w:kinsoku/>
              <w:wordWrap/>
              <w:overflowPunct/>
              <w:topLinePunct w:val="0"/>
              <w:autoSpaceDE/>
              <w:autoSpaceDN/>
              <w:bidi w:val="0"/>
              <w:adjustRightInd/>
              <w:snapToGrid/>
              <w:ind w:left="846" w:hanging="420"/>
              <w:jc w:val="both"/>
              <w:textAlignment w:val="auto"/>
              <w:rPr>
                <w:rFonts w:ascii="Times New Roman" w:hAnsi="Times New Roman" w:eastAsia="Batang"/>
                <w:bCs/>
                <w:sz w:val="20"/>
                <w:szCs w:val="20"/>
                <w:lang w:val="en-GB" w:eastAsia="en-US"/>
              </w:rPr>
            </w:pPr>
            <w:r>
              <w:rPr>
                <w:rFonts w:ascii="Times New Roman" w:hAnsi="Times New Roman" w:eastAsia="Batang"/>
                <w:bCs/>
                <w:sz w:val="20"/>
                <w:szCs w:val="20"/>
                <w:lang w:val="en-GB" w:eastAsia="en-US"/>
              </w:rPr>
              <w:t>PDSCH with SIB1/SIB19.</w:t>
            </w:r>
          </w:p>
          <w:p>
            <w:pPr>
              <w:keepNext w:val="0"/>
              <w:keepLines w:val="0"/>
              <w:pageBreakBefore w:val="0"/>
              <w:widowControl/>
              <w:numPr>
                <w:ilvl w:val="1"/>
                <w:numId w:val="9"/>
              </w:numPr>
              <w:suppressAutoHyphens/>
              <w:kinsoku/>
              <w:wordWrap/>
              <w:overflowPunct/>
              <w:topLinePunct w:val="0"/>
              <w:autoSpaceDE/>
              <w:autoSpaceDN/>
              <w:bidi w:val="0"/>
              <w:adjustRightInd/>
              <w:snapToGrid/>
              <w:ind w:left="1266" w:hanging="420"/>
              <w:jc w:val="both"/>
              <w:textAlignment w:val="auto"/>
              <w:rPr>
                <w:rFonts w:ascii="Times New Roman" w:hAnsi="Times New Roman" w:eastAsia="Batang"/>
                <w:bCs/>
                <w:sz w:val="20"/>
                <w:szCs w:val="20"/>
                <w:lang w:val="en-GB" w:eastAsia="en-US"/>
              </w:rPr>
            </w:pPr>
            <w:r>
              <w:rPr>
                <w:rFonts w:ascii="Times New Roman" w:hAnsi="Times New Roman" w:eastAsia="Batang"/>
                <w:bCs/>
                <w:sz w:val="20"/>
                <w:szCs w:val="20"/>
                <w:lang w:val="en-GB" w:eastAsia="en-US"/>
              </w:rPr>
              <w:t>Note: link-level enhancements for PDSCH with SIB1/SIB19 may be applicable to other SIBs, without additional specification impact.</w:t>
            </w:r>
          </w:p>
          <w:p>
            <w:pPr>
              <w:keepNext w:val="0"/>
              <w:keepLines w:val="0"/>
              <w:pageBreakBefore w:val="0"/>
              <w:widowControl/>
              <w:numPr>
                <w:ilvl w:val="0"/>
                <w:numId w:val="9"/>
              </w:numPr>
              <w:suppressAutoHyphens/>
              <w:kinsoku/>
              <w:wordWrap/>
              <w:overflowPunct/>
              <w:topLinePunct w:val="0"/>
              <w:autoSpaceDE/>
              <w:autoSpaceDN/>
              <w:bidi w:val="0"/>
              <w:adjustRightInd/>
              <w:snapToGrid/>
              <w:ind w:left="846" w:hanging="420"/>
              <w:jc w:val="both"/>
              <w:textAlignment w:val="auto"/>
              <w:rPr>
                <w:rFonts w:ascii="Times New Roman" w:hAnsi="Times New Roman" w:eastAsia="Batang"/>
                <w:bCs/>
                <w:sz w:val="20"/>
                <w:szCs w:val="20"/>
                <w:lang w:val="en-GB" w:eastAsia="en-US"/>
              </w:rPr>
            </w:pPr>
            <w:r>
              <w:rPr>
                <w:rFonts w:hint="eastAsia" w:ascii="Times New Roman" w:hAnsi="Times New Roman" w:eastAsia="Batang"/>
                <w:bCs/>
                <w:sz w:val="20"/>
                <w:szCs w:val="20"/>
                <w:lang w:val="en-GB" w:eastAsia="en-US"/>
              </w:rPr>
              <w:t>N</w:t>
            </w:r>
            <w:r>
              <w:rPr>
                <w:rFonts w:ascii="Times New Roman" w:hAnsi="Times New Roman" w:eastAsia="Batang"/>
                <w:bCs/>
                <w:sz w:val="20"/>
                <w:szCs w:val="20"/>
                <w:lang w:val="en-GB" w:eastAsia="en-US"/>
              </w:rPr>
              <w:t>ote: the above does not imply that all the channels above will be enhanced, but all of them should be considered based on this agreement</w:t>
            </w:r>
          </w:p>
          <w:p>
            <w:pPr>
              <w:keepNext w:val="0"/>
              <w:keepLines w:val="0"/>
              <w:pageBreakBefore w:val="0"/>
              <w:widowControl/>
              <w:kinsoku/>
              <w:wordWrap/>
              <w:overflowPunct/>
              <w:topLinePunct w:val="0"/>
              <w:autoSpaceDE/>
              <w:autoSpaceDN/>
              <w:bidi w:val="0"/>
              <w:adjustRightInd/>
              <w:snapToGrid/>
              <w:jc w:val="both"/>
              <w:textAlignment w:val="auto"/>
              <w:rPr>
                <w:rFonts w:ascii="Times New Roman" w:hAnsi="Times New Roman"/>
                <w:bCs/>
                <w:sz w:val="20"/>
                <w:szCs w:val="20"/>
                <w:highlight w:val="green"/>
                <w:lang w:val="en-US"/>
              </w:rPr>
            </w:pPr>
          </w:p>
          <w:p>
            <w:pPr>
              <w:keepNext w:val="0"/>
              <w:keepLines w:val="0"/>
              <w:pageBreakBefore w:val="0"/>
              <w:widowControl/>
              <w:kinsoku/>
              <w:wordWrap/>
              <w:overflowPunct/>
              <w:topLinePunct w:val="0"/>
              <w:autoSpaceDE/>
              <w:autoSpaceDN/>
              <w:bidi w:val="0"/>
              <w:adjustRightInd/>
              <w:snapToGrid/>
              <w:jc w:val="both"/>
              <w:textAlignment w:val="auto"/>
              <w:rPr>
                <w:rFonts w:hint="default" w:ascii="Times New Roman" w:hAnsi="Times New Roman" w:eastAsiaTheme="minorEastAsia"/>
                <w:b/>
                <w:bCs w:val="0"/>
                <w:sz w:val="20"/>
                <w:szCs w:val="20"/>
                <w:lang w:val="en-US" w:eastAsia="zh-CN"/>
              </w:rPr>
            </w:pPr>
            <w:r>
              <w:rPr>
                <w:rFonts w:ascii="Times New Roman" w:hAnsi="Times New Roman"/>
                <w:b/>
                <w:bCs w:val="0"/>
                <w:sz w:val="20"/>
                <w:szCs w:val="20"/>
                <w:highlight w:val="green"/>
                <w:lang w:val="en-US"/>
              </w:rPr>
              <w:t>Agreement</w:t>
            </w:r>
            <w:r>
              <w:rPr>
                <w:rFonts w:hint="eastAsia"/>
                <w:b/>
                <w:bCs w:val="0"/>
                <w:sz w:val="20"/>
                <w:szCs w:val="20"/>
                <w:highlight w:val="green"/>
                <w:lang w:val="en-US" w:eastAsia="zh-CN"/>
              </w:rPr>
              <w:t xml:space="preserve"> from RAN2</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line="240" w:lineRule="auto"/>
              <w:jc w:val="both"/>
              <w:textAlignment w:val="auto"/>
              <w:rPr>
                <w:rFonts w:hint="default"/>
                <w:kern w:val="2"/>
                <w:sz w:val="20"/>
                <w:szCs w:val="20"/>
                <w:vertAlign w:val="baseline"/>
                <w:lang w:val="en-US" w:eastAsia="zh-CN"/>
              </w:rPr>
            </w:pPr>
            <w:r>
              <w:rPr>
                <w:rFonts w:hint="eastAsia"/>
                <w:kern w:val="2"/>
                <w:sz w:val="20"/>
                <w:szCs w:val="20"/>
                <w:vertAlign w:val="baseline"/>
                <w:lang w:val="en-US" w:eastAsia="zh-CN"/>
              </w:rPr>
              <w:t xml:space="preserve">1. </w:t>
            </w:r>
            <w:r>
              <w:rPr>
                <w:rFonts w:hint="default"/>
                <w:kern w:val="2"/>
                <w:sz w:val="20"/>
                <w:szCs w:val="20"/>
                <w:vertAlign w:val="baseline"/>
                <w:lang w:val="en-US" w:eastAsia="zh-CN"/>
              </w:rPr>
              <w:t>From RAN2 point of view, if the SSB periodicity is no larger than 160ms, there is no RAN2 impact on SSB configuration (there might still be impacts on DTX aspects)</w:t>
            </w:r>
          </w:p>
          <w:p>
            <w:pPr>
              <w:keepNext w:val="0"/>
              <w:keepLines w:val="0"/>
              <w:pageBreakBefore w:val="0"/>
              <w:widowControl/>
              <w:numPr>
                <w:ilvl w:val="0"/>
                <w:numId w:val="0"/>
              </w:numPr>
              <w:tabs>
                <w:tab w:val="left" w:pos="1134"/>
              </w:tabs>
              <w:kinsoku/>
              <w:wordWrap/>
              <w:overflowPunct/>
              <w:topLinePunct w:val="0"/>
              <w:autoSpaceDE/>
              <w:autoSpaceDN/>
              <w:bidi w:val="0"/>
              <w:adjustRightInd/>
              <w:snapToGrid/>
              <w:spacing w:line="240" w:lineRule="auto"/>
              <w:ind w:leftChars="0"/>
              <w:jc w:val="both"/>
              <w:textAlignment w:val="auto"/>
              <w:rPr>
                <w:rFonts w:hint="default"/>
                <w:kern w:val="2"/>
                <w:sz w:val="20"/>
                <w:szCs w:val="20"/>
                <w:vertAlign w:val="baseline"/>
                <w:lang w:val="en-US" w:eastAsia="zh-CN"/>
              </w:rPr>
            </w:pPr>
            <w:r>
              <w:rPr>
                <w:rFonts w:hint="eastAsia"/>
                <w:kern w:val="2"/>
                <w:sz w:val="20"/>
                <w:szCs w:val="20"/>
                <w:vertAlign w:val="baseline"/>
                <w:lang w:val="en-US" w:eastAsia="zh-CN"/>
              </w:rPr>
              <w:t xml:space="preserve">2. </w:t>
            </w:r>
            <w:r>
              <w:rPr>
                <w:rFonts w:hint="default"/>
                <w:kern w:val="2"/>
                <w:sz w:val="20"/>
                <w:szCs w:val="20"/>
                <w:vertAlign w:val="baseline"/>
                <w:lang w:val="en-US" w:eastAsia="zh-CN"/>
              </w:rPr>
              <w:t>From RAN2 point of view, If the SSB periodicity is larger than 160ms, for example ssb-PeriodicityServingCell, measurement gap periodicity, SMTC configuration, ssb-Periodicity-r17 for NonCellDefiningSSB-r17 may need to be extended. And the field description of nAndPagingFrameOffset may need to be enhanced to consider the SSB periodicity higher than 160ms.</w:t>
            </w:r>
          </w:p>
          <w:p>
            <w:pPr>
              <w:keepNext w:val="0"/>
              <w:keepLines w:val="0"/>
              <w:pageBreakBefore w:val="0"/>
              <w:widowControl/>
              <w:tabs>
                <w:tab w:val="left" w:pos="1134"/>
              </w:tabs>
              <w:kinsoku/>
              <w:wordWrap/>
              <w:overflowPunct/>
              <w:topLinePunct w:val="0"/>
              <w:autoSpaceDE/>
              <w:autoSpaceDN/>
              <w:bidi w:val="0"/>
              <w:adjustRightInd/>
              <w:snapToGrid/>
              <w:spacing w:line="240" w:lineRule="auto"/>
              <w:jc w:val="both"/>
              <w:textAlignment w:val="auto"/>
              <w:rPr>
                <w:rFonts w:hint="default"/>
                <w:kern w:val="2"/>
                <w:sz w:val="20"/>
                <w:szCs w:val="20"/>
                <w:vertAlign w:val="baseline"/>
                <w:lang w:val="en-US" w:eastAsia="zh-CN"/>
              </w:rPr>
            </w:pPr>
            <w:r>
              <w:rPr>
                <w:rFonts w:hint="default"/>
                <w:kern w:val="2"/>
                <w:sz w:val="20"/>
                <w:szCs w:val="20"/>
                <w:vertAlign w:val="baseline"/>
                <w:lang w:val="en-US" w:eastAsia="zh-CN"/>
              </w:rPr>
              <w:t>3.</w:t>
            </w:r>
            <w:r>
              <w:rPr>
                <w:rFonts w:hint="eastAsia"/>
                <w:kern w:val="2"/>
                <w:sz w:val="20"/>
                <w:szCs w:val="20"/>
                <w:vertAlign w:val="baseline"/>
                <w:lang w:val="en-US" w:eastAsia="zh-CN"/>
              </w:rPr>
              <w:t xml:space="preserve"> </w:t>
            </w:r>
            <w:r>
              <w:rPr>
                <w:rFonts w:hint="default"/>
                <w:kern w:val="2"/>
                <w:sz w:val="20"/>
                <w:szCs w:val="20"/>
                <w:vertAlign w:val="baseline"/>
                <w:lang w:val="en-US" w:eastAsia="zh-CN"/>
              </w:rPr>
              <w:t>RAN2 can further consider SMTC impacts due to beam-hopping / larger SSB periodicity</w:t>
            </w:r>
          </w:p>
          <w:p>
            <w:pPr>
              <w:keepNext w:val="0"/>
              <w:keepLines w:val="0"/>
              <w:pageBreakBefore w:val="0"/>
              <w:widowControl/>
              <w:tabs>
                <w:tab w:val="left" w:pos="1134"/>
              </w:tabs>
              <w:kinsoku/>
              <w:wordWrap/>
              <w:overflowPunct/>
              <w:topLinePunct w:val="0"/>
              <w:autoSpaceDE/>
              <w:autoSpaceDN/>
              <w:bidi w:val="0"/>
              <w:adjustRightInd/>
              <w:snapToGrid/>
              <w:spacing w:line="240" w:lineRule="auto"/>
              <w:jc w:val="both"/>
              <w:textAlignment w:val="auto"/>
              <w:rPr>
                <w:rFonts w:hint="default"/>
                <w:kern w:val="2"/>
                <w:sz w:val="20"/>
                <w:szCs w:val="20"/>
                <w:vertAlign w:val="baseline"/>
                <w:lang w:val="en-US" w:eastAsia="zh-CN"/>
              </w:rPr>
            </w:pPr>
            <w:r>
              <w:rPr>
                <w:rFonts w:hint="eastAsia"/>
                <w:kern w:val="2"/>
                <w:sz w:val="20"/>
                <w:szCs w:val="20"/>
                <w:vertAlign w:val="baseline"/>
                <w:lang w:val="en-US" w:eastAsia="zh-CN"/>
              </w:rPr>
              <w:t xml:space="preserve">4. </w:t>
            </w:r>
            <w:r>
              <w:rPr>
                <w:rFonts w:hint="default"/>
                <w:kern w:val="2"/>
                <w:sz w:val="20"/>
                <w:szCs w:val="20"/>
                <w:vertAlign w:val="baseline"/>
                <w:lang w:val="en-US" w:eastAsia="zh-CN"/>
              </w:rPr>
              <w:t>If there is a need to bar pre-Rel19 NTN UEs from accessing a cell operating with DL coverage enhancement (e.g. because of extreme SSB periodicity) the existing NTN bar bit can be used. FFS about the behaviour for Rel-19 UEs not supporting DL coverage enhancement when the existing NTN bar bit is set.</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RAN1 agreed to consider extending the periodicity of the half frames with SS/PBCH blocks assumed by UE during initial access, default value[s] with extended periodicity assumed by NTN UE for initial access can be one [or more] values from the list {40ms, 80 ms, 160 ms, 320ms, 640ms}. If 320ms and/or 640ms will be finally chosen by RAN1, RAN2 will extend the SMTC, MG and so on correspondingly.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If RAN1/2 will extend the SSB/SMTC/MG periodicity larger than 320ms (the smallest DRX cycle), then almost all RRM requirements will be impacted including IDLE/Inactive mode and connected mode, such as: cell (re)-selection, L3 measurement, L1 measurement and so on. While if the extended SSB/SMTC/MG periodicity will not larger than 320ms, we think most of current requirements can be reused.</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Observation 1: Almost all RRM requirements will be impacted if RAN1/2 will extend the SSB/SMTC/MG periodicity larger than 320ms (the smallest DRX cycle).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Since the extension of the SSB periodicity is still under RAN1’s discussion, RAN4 can wait for more progress from RAN1/2.</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RAN4 to wait for more progress from RAN1/2 on SSB periodicity extension</w:t>
      </w:r>
    </w:p>
    <w:p>
      <w:pPr>
        <w:outlineLvl w:val="9"/>
        <w:rPr>
          <w:rFonts w:hint="default"/>
          <w:lang w:val="en-US" w:eastAsia="zh-CN"/>
        </w:rPr>
      </w:pPr>
    </w:p>
    <w:p>
      <w:pPr>
        <w:pStyle w:val="2"/>
        <w:numPr>
          <w:ilvl w:val="0"/>
          <w:numId w:val="5"/>
        </w:numPr>
        <w:pBdr>
          <w:top w:val="none" w:color="auto" w:sz="0" w:space="3"/>
          <w:left w:val="none" w:color="auto" w:sz="0" w:space="0"/>
          <w:bottom w:val="none" w:color="auto" w:sz="0" w:space="0"/>
          <w:right w:val="none" w:color="auto" w:sz="0" w:space="0"/>
          <w:between w:val="none" w:color="auto" w:sz="0" w:space="0"/>
        </w:pBdr>
        <w:spacing w:before="120" w:after="60" w:line="240" w:lineRule="auto"/>
        <w:rPr>
          <w:rFonts w:hint="eastAsia" w:ascii="Times New Roman" w:hAnsi="Times New Roman"/>
          <w:b w:val="0"/>
          <w:bCs w:val="0"/>
          <w:kern w:val="0"/>
          <w:sz w:val="36"/>
          <w:szCs w:val="36"/>
          <w:lang w:val="en-US" w:eastAsia="ja-JP"/>
        </w:rPr>
      </w:pPr>
      <w:r>
        <w:rPr>
          <w:rFonts w:hint="eastAsia" w:ascii="Times New Roman" w:hAnsi="Times New Roman"/>
          <w:b w:val="0"/>
          <w:bCs w:val="0"/>
          <w:kern w:val="0"/>
          <w:sz w:val="36"/>
          <w:szCs w:val="36"/>
          <w:lang w:val="en-US" w:eastAsia="ja-JP"/>
        </w:rPr>
        <w:t xml:space="preserve"> </w:t>
      </w:r>
      <w:r>
        <w:rPr>
          <w:rFonts w:hint="eastAsia" w:ascii="Times New Roman" w:hAnsi="Times New Roman"/>
          <w:b w:val="0"/>
          <w:bCs w:val="0"/>
          <w:kern w:val="0"/>
          <w:sz w:val="36"/>
          <w:szCs w:val="36"/>
          <w:lang w:val="en-US" w:eastAsia="zh-CN"/>
        </w:rPr>
        <w:t>S</w:t>
      </w:r>
      <w:r>
        <w:rPr>
          <w:rFonts w:hint="eastAsia" w:ascii="Times New Roman" w:hAnsi="Times New Roman"/>
          <w:b w:val="0"/>
          <w:bCs w:val="0"/>
          <w:kern w:val="0"/>
          <w:sz w:val="36"/>
          <w:szCs w:val="36"/>
          <w:lang w:val="en-US" w:eastAsia="ko-KR"/>
        </w:rPr>
        <w:t>upport of regenerative payload</w:t>
      </w: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5-2</w:t>
      </w:r>
      <w:r>
        <w:rPr>
          <w:rFonts w:hint="eastAsia"/>
          <w:b/>
          <w:i/>
          <w:iCs/>
          <w:sz w:val="20"/>
          <w:szCs w:val="20"/>
          <w:highlight w:val="none"/>
          <w:u w:val="single"/>
          <w:lang w:val="en-US" w:eastAsia="zh-CN"/>
        </w:rPr>
        <w:t>-1</w:t>
      </w:r>
      <w:r>
        <w:rPr>
          <w:rFonts w:hint="eastAsia"/>
          <w:b/>
          <w:i/>
          <w:iCs/>
          <w:sz w:val="20"/>
          <w:szCs w:val="20"/>
          <w:highlight w:val="none"/>
          <w:u w:val="single"/>
          <w:lang w:val="en-US" w:eastAsia="ko-KR"/>
        </w:rPr>
        <w:t>: Timing requirements</w:t>
      </w:r>
      <w:r>
        <w:rPr>
          <w:rFonts w:hint="eastAsia"/>
          <w:b/>
          <w:i/>
          <w:iCs/>
          <w:sz w:val="20"/>
          <w:szCs w:val="20"/>
          <w:highlight w:val="none"/>
          <w:u w:val="single"/>
          <w:lang w:val="en-US" w:eastAsia="zh-CN"/>
        </w:rPr>
        <w:t xml:space="preserve"> for regenerative payload</w:t>
      </w:r>
    </w:p>
    <w:p>
      <w:pPr>
        <w:outlineLvl w:val="9"/>
        <w:rPr>
          <w:rFonts w:hint="eastAsia"/>
          <w:b/>
          <w:bCs w:val="0"/>
          <w:i/>
          <w:iCs/>
          <w:sz w:val="20"/>
          <w:szCs w:val="20"/>
          <w:highlight w:val="none"/>
          <w:u w:val="none"/>
          <w:lang w:val="en-US" w:eastAsia="zh-CN"/>
        </w:rPr>
      </w:pPr>
      <w:r>
        <w:rPr>
          <w:rFonts w:hint="eastAsia"/>
          <w:b/>
          <w:bCs w:val="0"/>
          <w:i/>
          <w:iCs/>
          <w:sz w:val="20"/>
          <w:szCs w:val="20"/>
          <w:highlight w:val="none"/>
          <w:u w:val="none"/>
          <w:lang w:val="en-US" w:eastAsia="ko-KR"/>
        </w:rPr>
        <w:t>&lt;Way Forward&gt;</w:t>
      </w:r>
    </w:p>
    <w:p>
      <w:pPr>
        <w:numPr>
          <w:ilvl w:val="0"/>
          <w:numId w:val="6"/>
        </w:numPr>
        <w:spacing w:after="120"/>
        <w:ind w:left="720"/>
        <w:contextualSpacing w:val="0"/>
        <w:rPr>
          <w:rFonts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 xml:space="preserve">The common </w:t>
      </w:r>
      <w:r>
        <w:rPr>
          <w:rFonts w:ascii="Times New Roman" w:hAnsi="Times New Roman" w:eastAsia="宋体" w:cs="Times New Roman"/>
          <w:i/>
          <w:iCs/>
          <w:sz w:val="20"/>
          <w:szCs w:val="20"/>
          <w:lang w:val="en-GB" w:eastAsia="zh-CN" w:bidi="ar-SA"/>
        </w:rPr>
        <w:t>understanding</w:t>
      </w:r>
      <w:r>
        <w:rPr>
          <w:rFonts w:hint="eastAsia" w:ascii="Times New Roman" w:hAnsi="Times New Roman" w:eastAsia="宋体" w:cs="Times New Roman"/>
          <w:i/>
          <w:iCs/>
          <w:sz w:val="20"/>
          <w:szCs w:val="20"/>
          <w:lang w:val="en-US" w:eastAsia="zh-CN" w:bidi="ar-SA"/>
        </w:rPr>
        <w:t xml:space="preserve"> is that </w:t>
      </w:r>
      <m:oMath>
        <m:sSubSup>
          <m:sSubSupPr>
            <m:ctrlPr>
              <w:rPr>
                <w:rFonts w:ascii="Cambria Math" w:hAnsi="Cambria Math" w:eastAsia="宋体" w:cs="Times New Roman"/>
                <w:i/>
                <w:iCs/>
                <w:sz w:val="20"/>
                <w:szCs w:val="20"/>
                <w:lang w:val="en-US" w:eastAsia="zh-CN" w:bidi="ar-SA"/>
              </w:rPr>
            </m:ctrlPr>
          </m:sSubSupPr>
          <m:e>
            <m:r>
              <m:rPr/>
              <w:rPr>
                <w:rFonts w:ascii="Cambria Math" w:hAnsi="Cambria Math" w:eastAsia="宋体" w:cs="Times New Roman"/>
                <w:sz w:val="20"/>
                <w:szCs w:val="20"/>
                <w:lang w:val="en-GB" w:eastAsia="zh-CN" w:bidi="ar-SA"/>
              </w:rPr>
              <m:t>N</m:t>
            </m:r>
            <m:ctrlPr>
              <w:rPr>
                <w:rFonts w:ascii="Cambria Math" w:hAnsi="Cambria Math" w:eastAsia="宋体" w:cs="Times New Roman"/>
                <w:i/>
                <w:iCs/>
                <w:sz w:val="20"/>
                <w:szCs w:val="20"/>
                <w:lang w:val="en-US" w:eastAsia="zh-CN" w:bidi="ar-SA"/>
              </w:rPr>
            </m:ctrlPr>
          </m:e>
          <m:sub>
            <m:r>
              <m:rPr/>
              <w:rPr>
                <w:rFonts w:ascii="Cambria Math" w:hAnsi="Cambria Math" w:eastAsia="宋体" w:cs="Times New Roman"/>
                <w:sz w:val="20"/>
                <w:szCs w:val="20"/>
                <w:lang w:val="en-GB" w:eastAsia="zh-CN" w:bidi="ar-SA"/>
              </w:rPr>
              <m:t>TA,adj</m:t>
            </m:r>
            <m:ctrlPr>
              <w:rPr>
                <w:rFonts w:ascii="Cambria Math" w:hAnsi="Cambria Math" w:eastAsia="宋体" w:cs="Times New Roman"/>
                <w:i/>
                <w:iCs/>
                <w:sz w:val="20"/>
                <w:szCs w:val="20"/>
                <w:lang w:val="en-US" w:eastAsia="zh-CN" w:bidi="ar-SA"/>
              </w:rPr>
            </m:ctrlPr>
          </m:sub>
          <m:sup>
            <m:r>
              <m:rPr/>
              <w:rPr>
                <w:rFonts w:ascii="Cambria Math" w:hAnsi="Cambria Math" w:eastAsia="宋体" w:cs="Times New Roman"/>
                <w:sz w:val="20"/>
                <w:szCs w:val="20"/>
                <w:lang w:val="en-GB" w:eastAsia="zh-CN" w:bidi="ar-SA"/>
              </w:rPr>
              <m:t>common</m:t>
            </m:r>
            <m:ctrlPr>
              <w:rPr>
                <w:rFonts w:ascii="Cambria Math" w:hAnsi="Cambria Math" w:eastAsia="宋体" w:cs="Times New Roman"/>
                <w:i/>
                <w:iCs/>
                <w:sz w:val="20"/>
                <w:szCs w:val="20"/>
                <w:lang w:val="en-US" w:eastAsia="zh-CN" w:bidi="ar-SA"/>
              </w:rPr>
            </m:ctrlPr>
          </m:sup>
        </m:sSubSup>
      </m:oMath>
      <w:r>
        <w:rPr>
          <w:rFonts w:ascii="Times New Roman" w:hAnsi="Times New Roman" w:eastAsia="宋体" w:cs="Times New Roman"/>
          <w:i/>
          <w:iCs/>
          <w:sz w:val="20"/>
          <w:szCs w:val="20"/>
          <w:lang w:val="en-US" w:eastAsia="zh-CN" w:bidi="ar-SA"/>
        </w:rPr>
        <w:t xml:space="preserve"> is configured by network</w:t>
      </w:r>
      <w:r>
        <w:rPr>
          <w:rFonts w:hint="eastAsia" w:ascii="Times New Roman" w:hAnsi="Times New Roman" w:eastAsia="宋体" w:cs="Times New Roman"/>
          <w:i/>
          <w:iCs/>
          <w:sz w:val="20"/>
          <w:szCs w:val="20"/>
          <w:lang w:val="en-US" w:eastAsia="zh-CN" w:bidi="ar-SA"/>
        </w:rPr>
        <w:t>.</w:t>
      </w:r>
    </w:p>
    <w:p>
      <w:pPr>
        <w:numPr>
          <w:ilvl w:val="0"/>
          <w:numId w:val="6"/>
        </w:numPr>
        <w:spacing w:after="120"/>
        <w:ind w:left="720"/>
        <w:contextualSpacing w:val="0"/>
        <w:rPr>
          <w:rFonts w:ascii="Times New Roman" w:hAnsi="Times New Roman" w:eastAsia="宋体" w:cs="Times New Roman"/>
          <w:i/>
          <w:iCs/>
          <w:sz w:val="20"/>
          <w:szCs w:val="20"/>
          <w:lang w:val="en-US" w:eastAsia="zh-CN" w:bidi="ar-SA"/>
        </w:rPr>
      </w:pPr>
      <w:r>
        <w:rPr>
          <w:rFonts w:ascii="Times New Roman" w:hAnsi="Times New Roman" w:eastAsia="宋体" w:cs="Times New Roman"/>
          <w:i/>
          <w:iCs/>
          <w:sz w:val="20"/>
          <w:szCs w:val="20"/>
          <w:lang w:val="en-US" w:eastAsia="zh-CN" w:bidi="ar-SA"/>
        </w:rPr>
        <w:t>Further discuss</w:t>
      </w:r>
      <w:r>
        <w:rPr>
          <w:rFonts w:hint="eastAsia" w:ascii="Times New Roman" w:hAnsi="Times New Roman" w:eastAsia="宋体" w:cs="Times New Roman"/>
          <w:i/>
          <w:iCs/>
          <w:sz w:val="20"/>
          <w:szCs w:val="20"/>
          <w:lang w:val="en-US" w:eastAsia="zh-CN" w:bidi="ar-SA"/>
        </w:rPr>
        <w:t xml:space="preserve"> the impact on</w:t>
      </w:r>
      <w:r>
        <w:rPr>
          <w:rFonts w:ascii="Times New Roman" w:hAnsi="Times New Roman" w:eastAsia="宋体" w:cs="Times New Roman"/>
          <w:i/>
          <w:iCs/>
          <w:sz w:val="20"/>
          <w:szCs w:val="20"/>
          <w:lang w:val="en-US" w:eastAsia="zh-CN" w:bidi="ar-SA"/>
        </w:rPr>
        <w:t xml:space="preserve"> </w:t>
      </w:r>
      <w:r>
        <w:rPr>
          <w:rFonts w:hint="eastAsia" w:ascii="Times New Roman" w:hAnsi="Times New Roman" w:eastAsia="宋体" w:cs="Times New Roman"/>
          <w:i/>
          <w:iCs/>
          <w:sz w:val="20"/>
          <w:szCs w:val="20"/>
          <w:lang w:val="en-US" w:eastAsia="zh-CN" w:bidi="ar-SA"/>
        </w:rPr>
        <w:t>t</w:t>
      </w:r>
      <w:r>
        <w:rPr>
          <w:rFonts w:ascii="Times New Roman" w:hAnsi="Times New Roman" w:eastAsia="宋体" w:cs="Times New Roman"/>
          <w:i/>
          <w:iCs/>
          <w:sz w:val="20"/>
          <w:szCs w:val="20"/>
          <w:lang w:val="en-US" w:eastAsia="zh-CN" w:bidi="ar-SA"/>
        </w:rPr>
        <w:t>iming requirements in TS 38.133 for regenerative mode of NTN</w:t>
      </w:r>
      <w:r>
        <w:rPr>
          <w:rFonts w:hint="eastAsia" w:ascii="Times New Roman" w:hAnsi="Times New Roman" w:eastAsia="宋体" w:cs="Times New Roman"/>
          <w:i/>
          <w:iCs/>
          <w:sz w:val="20"/>
          <w:szCs w:val="20"/>
          <w:lang w:val="en-US" w:eastAsia="zh-CN" w:bidi="ar-SA"/>
        </w:rPr>
        <w:t>.</w:t>
      </w:r>
      <w:r>
        <w:rPr>
          <w:rFonts w:ascii="Times New Roman" w:hAnsi="Times New Roman" w:eastAsia="宋体" w:cs="Times New Roman"/>
          <w:i/>
          <w:iCs/>
          <w:sz w:val="20"/>
          <w:szCs w:val="20"/>
          <w:lang w:val="en-US" w:eastAsia="zh-CN" w:bidi="ar-SA"/>
        </w:rPr>
        <w:t xml:space="preserve">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Regarding common TA, RAN2 sent a LS [2] to RAN4 and RAN1 to check: Whether in a regenerative payload scenario it would be a problem to stick to 0 as the minimum possible value for TA-Common or whether we should e.g. introduce negative values for ta-Common.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 xml:space="preserve">Question:  Whether in a regenerative payload scenario it would be a problem to stick to 0 as the minimum possible value for TA-Common or whether we should e.g. introduce negative values for ta-Common.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vertAlign w:val="baseline"/>
                <w:lang w:val="en-US" w:eastAsia="zh-CN"/>
              </w:rPr>
            </w:pPr>
            <w:r>
              <w:rPr>
                <w:rFonts w:hint="eastAsia"/>
                <w:kern w:val="2"/>
                <w:sz w:val="20"/>
                <w:szCs w:val="20"/>
                <w:vertAlign w:val="baseline"/>
                <w:lang w:val="en-US" w:eastAsia="zh-CN"/>
              </w:rPr>
              <w:t>Additionally,  RAN2 understands in any case legacy UEs would have to rely on existing signaling and then for legacy UEs, minimum value of Common TA is equal to 0.</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Recall to the RAN1 R17, to avoid the UE over pre-compensates its TA during RACH procedure, which may cause interruption to the UL transmission before RACH, there are some discussion about TA margin and TA common, following agreements had been achieved:</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kern w:val="2"/>
                <w:sz w:val="20"/>
                <w:szCs w:val="20"/>
                <w:lang w:val="en-US" w:eastAsia="zh-CN"/>
              </w:rPr>
            </w:pPr>
            <w:r>
              <w:rPr>
                <w:rFonts w:hint="eastAsia"/>
                <w:b/>
                <w:bCs/>
                <w:kern w:val="2"/>
                <w:sz w:val="20"/>
                <w:szCs w:val="20"/>
                <w:lang w:val="en-US" w:eastAsia="zh-CN"/>
              </w:rPr>
              <w:t>Agreement from RAN1#102:</w:t>
            </w:r>
          </w:p>
          <w:p>
            <w:pPr>
              <w:numPr>
                <w:ilvl w:val="0"/>
                <w:numId w:val="10"/>
              </w:numPr>
              <w:overflowPunct/>
              <w:autoSpaceDE/>
              <w:autoSpaceDN/>
              <w:adjustRightInd/>
              <w:spacing w:after="0"/>
              <w:textAlignment w:val="auto"/>
              <w:rPr>
                <w:sz w:val="20"/>
                <w:szCs w:val="20"/>
                <w:lang w:eastAsia="zh-CN"/>
              </w:rPr>
            </w:pPr>
            <w:r>
              <w:rPr>
                <w:sz w:val="20"/>
                <w:szCs w:val="20"/>
                <w:lang w:eastAsia="zh-CN"/>
              </w:rPr>
              <w:t>FFS: The TA margin, if needed and indicated by the network (in order to account for the TA estimation uncertainty)</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kern w:val="2"/>
                <w:sz w:val="20"/>
                <w:szCs w:val="20"/>
                <w:lang w:val="en-US" w:eastAsia="zh-CN"/>
              </w:rPr>
            </w:pPr>
            <w:r>
              <w:rPr>
                <w:rFonts w:hint="eastAsia"/>
                <w:b/>
                <w:bCs/>
                <w:kern w:val="2"/>
                <w:sz w:val="20"/>
                <w:szCs w:val="20"/>
                <w:lang w:val="en-US" w:eastAsia="zh-CN"/>
              </w:rPr>
              <w:t>Agreement from RAN1#106:</w:t>
            </w:r>
          </w:p>
          <w:p>
            <w:pPr>
              <w:rPr>
                <w:sz w:val="20"/>
                <w:szCs w:val="20"/>
                <w:lang w:val="en-US"/>
              </w:rPr>
            </w:pPr>
            <w:r>
              <w:rPr>
                <w:sz w:val="20"/>
                <w:szCs w:val="20"/>
                <w:lang w:val="en-US"/>
              </w:rPr>
              <w:t>In NTN, to avoid that the UE</w:t>
            </w:r>
            <w:r>
              <w:rPr>
                <w:rStyle w:val="95"/>
                <w:sz w:val="20"/>
                <w:szCs w:val="20"/>
                <w:lang w:val="en-US"/>
              </w:rPr>
              <w:t> </w:t>
            </w:r>
            <w:r>
              <w:rPr>
                <w:sz w:val="20"/>
                <w:szCs w:val="20"/>
                <w:lang w:val="en-US"/>
              </w:rPr>
              <w:t>over pre-compensates its TA</w:t>
            </w:r>
            <w:r>
              <w:rPr>
                <w:rStyle w:val="95"/>
                <w:sz w:val="20"/>
                <w:szCs w:val="20"/>
                <w:lang w:val="en-US"/>
              </w:rPr>
              <w:t> </w:t>
            </w:r>
            <w:r>
              <w:rPr>
                <w:sz w:val="20"/>
                <w:szCs w:val="20"/>
                <w:lang w:val="en-US"/>
              </w:rPr>
              <w:t>during RACH procedure, down-select one option from below:</w:t>
            </w:r>
          </w:p>
          <w:p>
            <w:pPr>
              <w:numPr>
                <w:ilvl w:val="0"/>
                <w:numId w:val="10"/>
              </w:numPr>
              <w:overflowPunct/>
              <w:autoSpaceDE/>
              <w:autoSpaceDN/>
              <w:adjustRightInd/>
              <w:spacing w:after="0"/>
              <w:textAlignment w:val="auto"/>
              <w:rPr>
                <w:sz w:val="20"/>
                <w:szCs w:val="20"/>
                <w:lang w:val="en-US"/>
              </w:rPr>
            </w:pPr>
            <w:r>
              <w:rPr>
                <w:sz w:val="20"/>
                <w:szCs w:val="20"/>
                <w:lang w:val="en-US"/>
              </w:rPr>
              <w:t xml:space="preserve">Option 1: PRACH transmission is delayed by </w:t>
            </w:r>
            <m:oMath>
              <m:func>
                <m:funcPr>
                  <m:ctrlPr>
                    <w:rPr>
                      <w:rFonts w:ascii="Cambria Math" w:hAnsi="Cambria Math"/>
                      <w:b/>
                      <w:bCs/>
                      <w:color w:val="FF0000"/>
                      <w:sz w:val="20"/>
                      <w:szCs w:val="20"/>
                    </w:rPr>
                  </m:ctrlPr>
                </m:funcPr>
                <m:fName>
                  <m:r>
                    <m:rPr>
                      <m:sty m:val="b"/>
                    </m:rPr>
                    <w:rPr>
                      <w:rFonts w:ascii="Cambria Math" w:hAnsi="Cambria Math"/>
                      <w:color w:val="FF0000"/>
                      <w:sz w:val="20"/>
                      <w:szCs w:val="20"/>
                      <w:lang w:val="en-US"/>
                    </w:rPr>
                    <m:t>min</m:t>
                  </m:r>
                  <m:ctrlPr>
                    <w:rPr>
                      <w:rFonts w:ascii="Cambria Math" w:hAnsi="Cambria Math"/>
                      <w:b/>
                      <w:bCs/>
                      <w:color w:val="FF0000"/>
                      <w:sz w:val="20"/>
                      <w:szCs w:val="20"/>
                    </w:rPr>
                  </m:ctrlPr>
                </m:fName>
                <m:e>
                  <m:d>
                    <m:dPr>
                      <m:ctrlPr>
                        <w:rPr>
                          <w:rFonts w:ascii="Cambria Math" w:hAnsi="Cambria Math"/>
                          <w:b/>
                          <w:bCs/>
                          <w:color w:val="FF0000"/>
                          <w:sz w:val="20"/>
                          <w:szCs w:val="20"/>
                        </w:rPr>
                      </m:ctrlPr>
                    </m:dPr>
                    <m:e>
                      <m:f>
                        <m:fPr>
                          <m:ctrlPr>
                            <w:rPr>
                              <w:rFonts w:ascii="Cambria Math" w:hAnsi="Cambria Math"/>
                              <w:b/>
                              <w:bCs/>
                              <w:color w:val="FF0000"/>
                              <w:sz w:val="20"/>
                              <w:szCs w:val="20"/>
                            </w:rPr>
                          </m:ctrlPr>
                        </m:fPr>
                        <m:num>
                          <m:r>
                            <m:rPr>
                              <m:sty m:val="bi"/>
                            </m:rPr>
                            <w:rPr>
                              <w:rFonts w:ascii="Cambria Math" w:hAnsi="Cambria Math"/>
                              <w:color w:val="FF0000"/>
                              <w:sz w:val="20"/>
                              <w:szCs w:val="20"/>
                              <w:lang w:val="en-US"/>
                            </w:rPr>
                            <m:t>CP</m:t>
                          </m:r>
                          <m:ctrlPr>
                            <w:rPr>
                              <w:rFonts w:ascii="Cambria Math" w:hAnsi="Cambria Math"/>
                              <w:b/>
                              <w:bCs/>
                              <w:color w:val="FF0000"/>
                              <w:sz w:val="20"/>
                              <w:szCs w:val="20"/>
                            </w:rPr>
                          </m:ctrlPr>
                        </m:num>
                        <m:den>
                          <m:r>
                            <m:rPr>
                              <m:sty m:val="b"/>
                            </m:rPr>
                            <w:rPr>
                              <w:rFonts w:ascii="Cambria Math" w:hAnsi="Cambria Math"/>
                              <w:color w:val="FF0000"/>
                              <w:sz w:val="20"/>
                              <w:szCs w:val="20"/>
                              <w:lang w:val="en-US"/>
                            </w:rPr>
                            <m:t>2</m:t>
                          </m:r>
                          <m:ctrlPr>
                            <w:rPr>
                              <w:rFonts w:ascii="Cambria Math" w:hAnsi="Cambria Math"/>
                              <w:b/>
                              <w:bCs/>
                              <w:color w:val="FF0000"/>
                              <w:sz w:val="20"/>
                              <w:szCs w:val="20"/>
                            </w:rPr>
                          </m:ctrlPr>
                        </m:den>
                      </m:f>
                      <m:r>
                        <m:rPr>
                          <m:sty m:val="b"/>
                        </m:rPr>
                        <w:rPr>
                          <w:rFonts w:ascii="Cambria Math" w:hAnsi="Cambria Math"/>
                          <w:color w:val="FF0000"/>
                          <w:sz w:val="20"/>
                          <w:szCs w:val="20"/>
                          <w:lang w:val="en-US"/>
                        </w:rPr>
                        <m:t>,</m:t>
                      </m:r>
                      <m:f>
                        <m:fPr>
                          <m:ctrlPr>
                            <w:rPr>
                              <w:rFonts w:ascii="Cambria Math" w:hAnsi="Cambria Math"/>
                              <w:b/>
                              <w:bCs/>
                              <w:color w:val="FF0000"/>
                              <w:sz w:val="20"/>
                              <w:szCs w:val="20"/>
                            </w:rPr>
                          </m:ctrlPr>
                        </m:fPr>
                        <m:num>
                          <m:r>
                            <m:rPr>
                              <m:sty m:val="bi"/>
                            </m:rPr>
                            <w:rPr>
                              <w:rFonts w:ascii="Cambria Math" w:hAnsi="Cambria Math"/>
                              <w:color w:val="FF0000"/>
                              <w:sz w:val="20"/>
                              <w:szCs w:val="20"/>
                              <w:lang w:val="en-US"/>
                            </w:rPr>
                            <m:t>GP</m:t>
                          </m:r>
                          <m:ctrlPr>
                            <w:rPr>
                              <w:rFonts w:ascii="Cambria Math" w:hAnsi="Cambria Math"/>
                              <w:b/>
                              <w:bCs/>
                              <w:color w:val="FF0000"/>
                              <w:sz w:val="20"/>
                              <w:szCs w:val="20"/>
                            </w:rPr>
                          </m:ctrlPr>
                        </m:num>
                        <m:den>
                          <m:r>
                            <m:rPr>
                              <m:sty m:val="b"/>
                            </m:rPr>
                            <w:rPr>
                              <w:rFonts w:ascii="Cambria Math" w:hAnsi="Cambria Math"/>
                              <w:color w:val="FF0000"/>
                              <w:sz w:val="20"/>
                              <w:szCs w:val="20"/>
                              <w:lang w:val="en-US"/>
                            </w:rPr>
                            <m:t>2</m:t>
                          </m:r>
                          <m:ctrlPr>
                            <w:rPr>
                              <w:rFonts w:ascii="Cambria Math" w:hAnsi="Cambria Math"/>
                              <w:b/>
                              <w:bCs/>
                              <w:color w:val="FF0000"/>
                              <w:sz w:val="20"/>
                              <w:szCs w:val="20"/>
                            </w:rPr>
                          </m:ctrlPr>
                        </m:den>
                      </m:f>
                      <m:r>
                        <m:rPr>
                          <m:sty m:val="b"/>
                        </m:rPr>
                        <w:rPr>
                          <w:rFonts w:ascii="Cambria Math" w:hAnsi="Cambria Math"/>
                          <w:color w:val="FF0000"/>
                          <w:sz w:val="20"/>
                          <w:szCs w:val="20"/>
                        </w:rPr>
                        <m:t xml:space="preserve"> </m:t>
                      </m:r>
                      <m:ctrlPr>
                        <w:rPr>
                          <w:rFonts w:ascii="Cambria Math" w:hAnsi="Cambria Math"/>
                          <w:b/>
                          <w:bCs/>
                          <w:color w:val="FF0000"/>
                          <w:sz w:val="20"/>
                          <w:szCs w:val="20"/>
                        </w:rPr>
                      </m:ctrlPr>
                    </m:e>
                  </m:d>
                  <m:ctrlPr>
                    <w:rPr>
                      <w:rFonts w:ascii="Cambria Math" w:hAnsi="Cambria Math"/>
                      <w:b/>
                      <w:bCs/>
                      <w:color w:val="FF0000"/>
                      <w:sz w:val="20"/>
                      <w:szCs w:val="20"/>
                    </w:rPr>
                  </m:ctrlPr>
                </m:e>
              </m:func>
            </m:oMath>
          </w:p>
          <w:p>
            <w:pPr>
              <w:numPr>
                <w:ilvl w:val="0"/>
                <w:numId w:val="10"/>
              </w:numPr>
              <w:overflowPunct/>
              <w:autoSpaceDE/>
              <w:autoSpaceDN/>
              <w:adjustRightInd/>
              <w:spacing w:after="0"/>
              <w:textAlignment w:val="auto"/>
              <w:rPr>
                <w:sz w:val="20"/>
                <w:szCs w:val="20"/>
                <w:lang w:val="en-US"/>
              </w:rPr>
            </w:pPr>
            <w:r>
              <w:rPr>
                <w:sz w:val="20"/>
                <w:szCs w:val="20"/>
                <w:lang w:val="en-US"/>
              </w:rPr>
              <w:t>Option 2: TA margin can be considered and it is explicitly indicated to the UE</w:t>
            </w:r>
          </w:p>
          <w:p>
            <w:pPr>
              <w:numPr>
                <w:ilvl w:val="0"/>
                <w:numId w:val="10"/>
              </w:numPr>
              <w:overflowPunct/>
              <w:autoSpaceDE/>
              <w:autoSpaceDN/>
              <w:adjustRightInd/>
              <w:spacing w:after="0"/>
              <w:textAlignment w:val="auto"/>
              <w:rPr>
                <w:sz w:val="20"/>
                <w:szCs w:val="20"/>
                <w:lang w:val="en-US"/>
              </w:rPr>
            </w:pPr>
            <w:r>
              <w:rPr>
                <w:sz w:val="20"/>
                <w:szCs w:val="20"/>
                <w:lang w:val="en-US"/>
              </w:rPr>
              <w:t>Option 3: TA margin can be considered and it is included within the Common TA</w:t>
            </w:r>
          </w:p>
          <w:p>
            <w:pPr>
              <w:numPr>
                <w:ilvl w:val="0"/>
                <w:numId w:val="10"/>
              </w:numPr>
              <w:overflowPunct/>
              <w:autoSpaceDE/>
              <w:autoSpaceDN/>
              <w:adjustRightInd/>
              <w:spacing w:after="0"/>
              <w:textAlignment w:val="auto"/>
              <w:rPr>
                <w:sz w:val="20"/>
                <w:szCs w:val="20"/>
                <w:lang w:val="en-US"/>
              </w:rPr>
            </w:pPr>
            <w:r>
              <w:rPr>
                <w:sz w:val="20"/>
                <w:szCs w:val="20"/>
                <w:lang w:val="en-US"/>
              </w:rPr>
              <w:t>Option 4: UE handles it via implementation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kern w:val="2"/>
                <w:sz w:val="20"/>
                <w:szCs w:val="20"/>
                <w:lang w:val="en-US" w:eastAsia="zh-CN"/>
              </w:rPr>
            </w:pPr>
            <w:r>
              <w:rPr>
                <w:rFonts w:hint="eastAsia"/>
                <w:b/>
                <w:bCs/>
                <w:kern w:val="2"/>
                <w:sz w:val="20"/>
                <w:szCs w:val="20"/>
                <w:lang w:val="en-US" w:eastAsia="zh-CN"/>
              </w:rPr>
              <w:t>Conclusion from RAN1#106b:</w:t>
            </w:r>
          </w:p>
          <w:p>
            <w:pPr>
              <w:rPr>
                <w:rFonts w:hint="eastAsia"/>
                <w:kern w:val="2"/>
                <w:sz w:val="20"/>
                <w:szCs w:val="20"/>
                <w:vertAlign w:val="baseline"/>
                <w:lang w:val="en-US" w:eastAsia="zh-CN"/>
              </w:rPr>
            </w:pPr>
            <w:r>
              <w:rPr>
                <w:sz w:val="20"/>
                <w:szCs w:val="20"/>
              </w:rPr>
              <w:t>Do not define a TA margin.</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Although the TA margin was not finally defined, if we check the FL summary from RAN1#106b i.e., R1-2110602, the reason behind is that TA margin can be implicitly covered in TA common. For example, if the ideal TA common = X, network could configure TA common = Y, which Y = X - TA margin.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Observation 2: RAN1 implicitly support TA margin through TA common configuration, e.g., if the ideal TA common = X, network could configure TA common = Y, which Y = X - TA margin.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Through this method, the practical TA for PRACH using by UE will be smaller, which means the PRACH transmission time will lag behind. Due to the GP structure behind, the delayed PRACH transmission will not interrupt the following UL transmission. As illustrated in Figure 1, if A&gt;CP/2, while A-GP&lt;CP/2, the TA margin method could prevent interruption between PRACH and other UL transmission.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center"/>
        <w:textAlignment w:val="auto"/>
      </w:pPr>
      <w:r>
        <w:drawing>
          <wp:inline distT="0" distB="0" distL="114300" distR="114300">
            <wp:extent cx="1604010" cy="1675765"/>
            <wp:effectExtent l="0" t="0" r="8890" b="63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4"/>
                    <a:stretch>
                      <a:fillRect/>
                    </a:stretch>
                  </pic:blipFill>
                  <pic:spPr>
                    <a:xfrm>
                      <a:off x="0" y="0"/>
                      <a:ext cx="1604010" cy="1675765"/>
                    </a:xfrm>
                    <a:prstGeom prst="rect">
                      <a:avLst/>
                    </a:prstGeom>
                    <a:noFill/>
                    <a:ln>
                      <a:noFill/>
                    </a:ln>
                  </pic:spPr>
                </pic:pic>
              </a:graphicData>
            </a:graphic>
          </wp:inline>
        </w:drawing>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center"/>
        <w:textAlignment w:val="auto"/>
        <w:rPr>
          <w:rFonts w:hint="default" w:eastAsiaTheme="minorEastAsia"/>
          <w:b/>
          <w:bCs/>
          <w:sz w:val="20"/>
          <w:szCs w:val="20"/>
          <w:lang w:val="en-US" w:eastAsia="zh-CN"/>
        </w:rPr>
      </w:pPr>
      <w:r>
        <w:rPr>
          <w:rFonts w:hint="eastAsia"/>
          <w:b/>
          <w:bCs/>
          <w:sz w:val="20"/>
          <w:szCs w:val="20"/>
          <w:lang w:val="en-US" w:eastAsia="zh-CN"/>
        </w:rPr>
        <w:t>Figure 1</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However, after the discussion and design from RAN1, RAN4 defines the UL transmit timing error T</w:t>
      </w:r>
      <w:r>
        <w:rPr>
          <w:rFonts w:hint="eastAsia"/>
          <w:kern w:val="2"/>
          <w:sz w:val="20"/>
          <w:szCs w:val="20"/>
          <w:vertAlign w:val="subscript"/>
          <w:lang w:val="en-US" w:eastAsia="zh-CN"/>
        </w:rPr>
        <w:t>e_NTN</w:t>
      </w:r>
      <w:r>
        <w:rPr>
          <w:rFonts w:hint="eastAsia"/>
          <w:kern w:val="2"/>
          <w:sz w:val="20"/>
          <w:szCs w:val="20"/>
          <w:lang w:val="en-US" w:eastAsia="zh-CN"/>
        </w:rPr>
        <w:t xml:space="preserve"> as following:</w:t>
      </w:r>
    </w:p>
    <w:p>
      <w:pPr>
        <w:keepNext/>
        <w:keepLines/>
        <w:overflowPunct w:val="0"/>
        <w:autoSpaceDE w:val="0"/>
        <w:autoSpaceDN w:val="0"/>
        <w:adjustRightInd w:val="0"/>
        <w:spacing w:before="60" w:after="180"/>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Table 7.1C.2-1: T</w:t>
      </w:r>
      <w:r>
        <w:rPr>
          <w:rFonts w:ascii="Arial" w:hAnsi="Arial" w:eastAsia="Times New Roman" w:cs="Times New Roman"/>
          <w:b/>
          <w:sz w:val="20"/>
          <w:szCs w:val="20"/>
          <w:vertAlign w:val="subscript"/>
          <w:lang w:val="en-GB" w:eastAsia="en-GB" w:bidi="ar-SA"/>
        </w:rPr>
        <w:t>e_NTN</w:t>
      </w:r>
      <w:r>
        <w:rPr>
          <w:rFonts w:ascii="Arial" w:hAnsi="Arial" w:eastAsia="Times New Roman" w:cs="Times New Roman"/>
          <w:b/>
          <w:sz w:val="20"/>
          <w:szCs w:val="20"/>
          <w:lang w:val="en-GB" w:eastAsia="en-GB" w:bidi="ar-SA"/>
        </w:rPr>
        <w:t xml:space="preserve"> Timing Error Limit</w:t>
      </w:r>
    </w:p>
    <w:tbl>
      <w:tblPr>
        <w:tblStyle w:val="20"/>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1476"/>
        <w:gridCol w:w="147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Align w:val="center"/>
          </w:tcPr>
          <w:p>
            <w:pPr>
              <w:keepNext/>
              <w:keepLines/>
              <w:overflowPunct w:val="0"/>
              <w:autoSpaceDE w:val="0"/>
              <w:autoSpaceDN w:val="0"/>
              <w:adjustRightInd w:val="0"/>
              <w:spacing w:after="0"/>
              <w:jc w:val="center"/>
              <w:textAlignment w:val="baseline"/>
              <w:rPr>
                <w:rFonts w:ascii="Arial" w:hAnsi="Arial" w:eastAsia="宋体" w:cs="Times New Roman"/>
                <w:b/>
                <w:sz w:val="20"/>
                <w:szCs w:val="20"/>
                <w:lang w:val="en-GB" w:eastAsia="en-GB" w:bidi="ar-SA"/>
              </w:rPr>
            </w:pPr>
            <w:r>
              <w:rPr>
                <w:rFonts w:ascii="Arial" w:hAnsi="Arial" w:eastAsia="宋体" w:cs="Times New Roman"/>
                <w:b/>
                <w:sz w:val="20"/>
                <w:szCs w:val="20"/>
                <w:lang w:val="en-GB" w:eastAsia="en-GB" w:bidi="ar-SA"/>
              </w:rPr>
              <w:t>Frequency Range</w:t>
            </w:r>
          </w:p>
        </w:tc>
        <w:tc>
          <w:tcPr>
            <w:tcW w:w="1244" w:type="pct"/>
            <w:vAlign w:val="center"/>
          </w:tcPr>
          <w:p>
            <w:pPr>
              <w:keepNext/>
              <w:keepLines/>
              <w:overflowPunct w:val="0"/>
              <w:autoSpaceDE w:val="0"/>
              <w:autoSpaceDN w:val="0"/>
              <w:adjustRightInd w:val="0"/>
              <w:spacing w:after="0"/>
              <w:jc w:val="center"/>
              <w:textAlignment w:val="baseline"/>
              <w:rPr>
                <w:rFonts w:ascii="Arial" w:hAnsi="Arial" w:eastAsia="宋体" w:cs="Times New Roman"/>
                <w:b/>
                <w:sz w:val="20"/>
                <w:szCs w:val="20"/>
                <w:lang w:val="en-GB" w:eastAsia="en-GB" w:bidi="ar-SA"/>
              </w:rPr>
            </w:pPr>
            <w:r>
              <w:rPr>
                <w:rFonts w:ascii="Arial" w:hAnsi="Arial" w:eastAsia="宋体" w:cs="Times New Roman"/>
                <w:b/>
                <w:sz w:val="20"/>
                <w:szCs w:val="20"/>
                <w:lang w:val="en-GB" w:eastAsia="en-GB" w:bidi="ar-SA"/>
              </w:rPr>
              <w:t>SCS of SSB signals (kHz)</w:t>
            </w:r>
          </w:p>
        </w:tc>
        <w:tc>
          <w:tcPr>
            <w:tcW w:w="1245" w:type="pct"/>
            <w:vAlign w:val="center"/>
          </w:tcPr>
          <w:p>
            <w:pPr>
              <w:keepNext/>
              <w:keepLines/>
              <w:overflowPunct w:val="0"/>
              <w:autoSpaceDE w:val="0"/>
              <w:autoSpaceDN w:val="0"/>
              <w:adjustRightInd w:val="0"/>
              <w:spacing w:after="0"/>
              <w:jc w:val="center"/>
              <w:textAlignment w:val="baseline"/>
              <w:rPr>
                <w:rFonts w:ascii="Arial" w:hAnsi="Arial" w:eastAsia="宋体" w:cs="Times New Roman"/>
                <w:b/>
                <w:sz w:val="20"/>
                <w:szCs w:val="20"/>
                <w:lang w:val="en-GB" w:eastAsia="en-GB" w:bidi="ar-SA"/>
              </w:rPr>
            </w:pPr>
            <w:r>
              <w:rPr>
                <w:rFonts w:ascii="Arial" w:hAnsi="Arial" w:eastAsia="宋体" w:cs="Times New Roman"/>
                <w:b/>
                <w:sz w:val="20"/>
                <w:szCs w:val="20"/>
                <w:lang w:val="en-GB" w:eastAsia="en-GB" w:bidi="ar-SA"/>
              </w:rPr>
              <w:t>SCS of uplink signals (kHz)</w:t>
            </w:r>
          </w:p>
        </w:tc>
        <w:tc>
          <w:tcPr>
            <w:tcW w:w="1478" w:type="pct"/>
            <w:vAlign w:val="center"/>
          </w:tcPr>
          <w:p>
            <w:pPr>
              <w:keepNext/>
              <w:keepLines/>
              <w:overflowPunct w:val="0"/>
              <w:autoSpaceDE w:val="0"/>
              <w:autoSpaceDN w:val="0"/>
              <w:adjustRightInd w:val="0"/>
              <w:spacing w:after="0"/>
              <w:jc w:val="center"/>
              <w:textAlignment w:val="baseline"/>
              <w:rPr>
                <w:rFonts w:ascii="Arial" w:hAnsi="Arial" w:eastAsia="宋体" w:cs="Times New Roman"/>
                <w:b/>
                <w:sz w:val="20"/>
                <w:szCs w:val="20"/>
                <w:lang w:val="en-GB" w:eastAsia="en-GB" w:bidi="ar-SA"/>
              </w:rPr>
            </w:pPr>
            <w:r>
              <w:rPr>
                <w:rFonts w:ascii="Arial" w:hAnsi="Arial" w:eastAsia="宋体" w:cs="Times New Roman"/>
                <w:b/>
                <w:sz w:val="20"/>
                <w:szCs w:val="20"/>
                <w:lang w:val="en-GB" w:eastAsia="en-GB" w:bidi="ar-SA"/>
              </w:rPr>
              <w:t>T</w:t>
            </w:r>
            <w:r>
              <w:rPr>
                <w:rFonts w:ascii="Arial" w:hAnsi="Arial" w:eastAsia="宋体" w:cs="Times New Roman"/>
                <w:b/>
                <w:sz w:val="20"/>
                <w:szCs w:val="20"/>
                <w:vertAlign w:val="subscript"/>
                <w:lang w:val="en-GB" w:eastAsia="en-GB" w:bidi="ar-SA"/>
              </w:rPr>
              <w:t>e</w:t>
            </w:r>
            <w:r>
              <w:rPr>
                <w:rFonts w:ascii="Arial" w:hAnsi="Arial" w:eastAsia="Times New Roman" w:cs="Times New Roman"/>
                <w:b/>
                <w:sz w:val="20"/>
                <w:szCs w:val="20"/>
                <w:vertAlign w:val="subscript"/>
                <w:lang w:val="en-GB" w:eastAsia="en-GB" w:bidi="ar-SA"/>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bottom w:val="nil"/>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FR1-NTN</w:t>
            </w:r>
          </w:p>
        </w:tc>
        <w:tc>
          <w:tcPr>
            <w:tcW w:w="1244" w:type="pct"/>
            <w:tcBorders>
              <w:bottom w:val="nil"/>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15</w:t>
            </w: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15</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29*64*T</w:t>
            </w:r>
            <w:r>
              <w:rPr>
                <w:rFonts w:ascii="Arial" w:hAnsi="Arial" w:eastAsia="宋体" w:cs="Times New Roman"/>
                <w:sz w:val="20"/>
                <w:szCs w:val="20"/>
                <w:vertAlign w:val="subscript"/>
                <w:lang w:val="en-GB" w:eastAsia="en-GB"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4" w:type="pct"/>
            <w:tcBorders>
              <w:top w:val="nil"/>
              <w:bottom w:val="nil"/>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30</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24*64*T</w:t>
            </w:r>
            <w:r>
              <w:rPr>
                <w:rFonts w:ascii="Arial" w:hAnsi="Arial" w:eastAsia="宋体" w:cs="Times New Roman"/>
                <w:sz w:val="20"/>
                <w:szCs w:val="20"/>
                <w:vertAlign w:val="subscript"/>
                <w:lang w:val="en-GB" w:eastAsia="en-GB"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4" w:type="pct"/>
            <w:tcBorders>
              <w:top w:val="nil"/>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60</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4" w:type="pct"/>
            <w:tcBorders>
              <w:bottom w:val="nil"/>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30</w:t>
            </w: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15</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24*64*T</w:t>
            </w:r>
            <w:r>
              <w:rPr>
                <w:rFonts w:ascii="Arial" w:hAnsi="Arial" w:eastAsia="宋体" w:cs="Times New Roman"/>
                <w:sz w:val="20"/>
                <w:szCs w:val="20"/>
                <w:vertAlign w:val="subscript"/>
                <w:lang w:val="en-GB" w:eastAsia="en-GB"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nil"/>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4" w:type="pct"/>
            <w:tcBorders>
              <w:top w:val="nil"/>
              <w:bottom w:val="nil"/>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30</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22*64*T</w:t>
            </w:r>
            <w:r>
              <w:rPr>
                <w:rFonts w:ascii="Arial" w:hAnsi="Arial" w:eastAsia="宋体" w:cs="Times New Roman"/>
                <w:sz w:val="20"/>
                <w:szCs w:val="20"/>
                <w:vertAlign w:val="subscript"/>
                <w:lang w:val="en-GB" w:eastAsia="en-GB"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tcBorders>
              <w:top w:val="nil"/>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4" w:type="pct"/>
            <w:tcBorders>
              <w:top w:val="nil"/>
              <w:bottom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60</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keepNext/>
              <w:keepLines/>
              <w:overflowPunct w:val="0"/>
              <w:autoSpaceDE w:val="0"/>
              <w:autoSpaceDN w:val="0"/>
              <w:adjustRightInd w:val="0"/>
              <w:spacing w:after="0"/>
              <w:ind w:left="851" w:hanging="851"/>
              <w:textAlignment w:val="baseline"/>
              <w:rPr>
                <w:rFonts w:ascii="Arial" w:hAnsi="Arial" w:eastAsia="宋体" w:cs="Times New Roman"/>
                <w:sz w:val="20"/>
                <w:szCs w:val="20"/>
                <w:lang w:val="en-GB" w:eastAsia="en-GB" w:bidi="ar-SA"/>
              </w:rPr>
            </w:pPr>
            <w:r>
              <w:rPr>
                <w:rFonts w:ascii="Arial" w:hAnsi="Arial" w:eastAsia="宋体" w:cs="Arial"/>
                <w:sz w:val="20"/>
                <w:szCs w:val="20"/>
                <w:lang w:val="en-GB" w:eastAsia="en-GB" w:bidi="ar-SA"/>
              </w:rPr>
              <w:t>Note</w:t>
            </w:r>
            <w:r>
              <w:rPr>
                <w:rFonts w:ascii="Arial" w:hAnsi="Arial" w:eastAsia="宋体" w:cs="Times New Roman"/>
                <w:sz w:val="20"/>
                <w:szCs w:val="20"/>
                <w:lang w:val="en-GB" w:eastAsia="en-GB" w:bidi="ar-SA"/>
              </w:rPr>
              <w:t xml:space="preserve"> 1:</w:t>
            </w:r>
            <w:r>
              <w:rPr>
                <w:rFonts w:ascii="Arial" w:hAnsi="Arial" w:eastAsia="宋体" w:cs="Times New Roman"/>
                <w:sz w:val="20"/>
                <w:szCs w:val="20"/>
                <w:lang w:val="en-GB" w:eastAsia="en-GB" w:bidi="ar-SA"/>
              </w:rPr>
              <w:tab/>
            </w:r>
            <w:r>
              <w:rPr>
                <w:rFonts w:ascii="Arial" w:hAnsi="Arial" w:eastAsia="宋体" w:cs="Times New Roman"/>
                <w:sz w:val="20"/>
                <w:szCs w:val="20"/>
                <w:lang w:val="en-GB" w:eastAsia="en-GB" w:bidi="ar-SA"/>
              </w:rPr>
              <w:t>T</w:t>
            </w:r>
            <w:r>
              <w:rPr>
                <w:rFonts w:ascii="Arial" w:hAnsi="Arial" w:eastAsia="宋体" w:cs="Times New Roman"/>
                <w:sz w:val="20"/>
                <w:szCs w:val="20"/>
                <w:vertAlign w:val="subscript"/>
                <w:lang w:val="en-GB" w:eastAsia="en-GB" w:bidi="ar-SA"/>
              </w:rPr>
              <w:t>c</w:t>
            </w:r>
            <w:r>
              <w:rPr>
                <w:rFonts w:ascii="Arial" w:hAnsi="Arial" w:eastAsia="宋体" w:cs="Times New Roman"/>
                <w:sz w:val="20"/>
                <w:szCs w:val="20"/>
                <w:lang w:val="en-GB" w:eastAsia="en-GB" w:bidi="ar-SA"/>
              </w:rPr>
              <w:t xml:space="preserve"> is the basic timing unit defined in TS 38.211 [6]</w:t>
            </w:r>
          </w:p>
        </w:tc>
      </w:tr>
    </w:tbl>
    <w:p>
      <w:pPr>
        <w:keepNext/>
        <w:keepLines/>
        <w:overflowPunct w:val="0"/>
        <w:autoSpaceDE w:val="0"/>
        <w:autoSpaceDN w:val="0"/>
        <w:adjustRightInd w:val="0"/>
        <w:spacing w:before="60" w:after="180"/>
        <w:jc w:val="center"/>
        <w:textAlignment w:val="baseline"/>
        <w:rPr>
          <w:rFonts w:ascii="Arial" w:hAnsi="Arial" w:eastAsia="Times New Roman" w:cs="Times New Roman"/>
          <w:b/>
          <w:sz w:val="20"/>
          <w:szCs w:val="20"/>
          <w:lang w:val="en-GB" w:eastAsia="en-GB" w:bidi="ar-SA"/>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Table 7.1C.2-2: T</w:t>
      </w:r>
      <w:r>
        <w:rPr>
          <w:rFonts w:ascii="Arial" w:hAnsi="Arial" w:eastAsia="Times New Roman" w:cs="Times New Roman"/>
          <w:b/>
          <w:sz w:val="20"/>
          <w:szCs w:val="20"/>
          <w:vertAlign w:val="subscript"/>
          <w:lang w:val="en-GB" w:eastAsia="en-GB" w:bidi="ar-SA"/>
        </w:rPr>
        <w:t>e_NTN</w:t>
      </w:r>
      <w:r>
        <w:rPr>
          <w:rFonts w:ascii="Arial" w:hAnsi="Arial" w:eastAsia="Times New Roman" w:cs="Times New Roman"/>
          <w:b/>
          <w:sz w:val="20"/>
          <w:szCs w:val="20"/>
          <w:lang w:val="en-GB" w:eastAsia="en-GB" w:bidi="ar-SA"/>
        </w:rPr>
        <w:t xml:space="preserve"> Timing Error Limit for </w:t>
      </w:r>
      <w:r>
        <w:rPr>
          <w:rFonts w:ascii="Arial" w:hAnsi="Arial" w:eastAsia="Times New Roman" w:cs="Times New Roman"/>
          <w:b/>
          <w:sz w:val="20"/>
          <w:szCs w:val="20"/>
          <w:lang w:val="en-GB" w:eastAsia="zh-CN" w:bidi="ar-SA"/>
        </w:rPr>
        <w:t>fixed VSAT is served by GSO and fixed VSAT is served by NGSO</w:t>
      </w:r>
    </w:p>
    <w:tbl>
      <w:tblPr>
        <w:tblStyle w:val="20"/>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1476"/>
        <w:gridCol w:w="147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Align w:val="center"/>
          </w:tcPr>
          <w:p>
            <w:pPr>
              <w:keepNext/>
              <w:keepLines/>
              <w:overflowPunct w:val="0"/>
              <w:autoSpaceDE w:val="0"/>
              <w:autoSpaceDN w:val="0"/>
              <w:adjustRightInd w:val="0"/>
              <w:spacing w:after="0"/>
              <w:jc w:val="center"/>
              <w:textAlignment w:val="baseline"/>
              <w:rPr>
                <w:rFonts w:ascii="Arial" w:hAnsi="Arial" w:eastAsia="宋体" w:cs="Times New Roman"/>
                <w:b/>
                <w:sz w:val="20"/>
                <w:szCs w:val="20"/>
                <w:lang w:val="en-GB" w:eastAsia="en-GB" w:bidi="ar-SA"/>
              </w:rPr>
            </w:pPr>
            <w:r>
              <w:rPr>
                <w:rFonts w:ascii="Arial" w:hAnsi="Arial" w:eastAsia="宋体" w:cs="Times New Roman"/>
                <w:b/>
                <w:sz w:val="20"/>
                <w:szCs w:val="20"/>
                <w:lang w:val="en-GB" w:eastAsia="en-GB" w:bidi="ar-SA"/>
              </w:rPr>
              <w:t>Frequency Range</w:t>
            </w:r>
          </w:p>
        </w:tc>
        <w:tc>
          <w:tcPr>
            <w:tcW w:w="1244" w:type="pct"/>
            <w:vAlign w:val="center"/>
          </w:tcPr>
          <w:p>
            <w:pPr>
              <w:keepNext/>
              <w:keepLines/>
              <w:overflowPunct w:val="0"/>
              <w:autoSpaceDE w:val="0"/>
              <w:autoSpaceDN w:val="0"/>
              <w:adjustRightInd w:val="0"/>
              <w:spacing w:after="0"/>
              <w:jc w:val="center"/>
              <w:textAlignment w:val="baseline"/>
              <w:rPr>
                <w:rFonts w:ascii="Arial" w:hAnsi="Arial" w:eastAsia="宋体" w:cs="Times New Roman"/>
                <w:b/>
                <w:sz w:val="20"/>
                <w:szCs w:val="20"/>
                <w:lang w:val="en-GB" w:eastAsia="en-GB" w:bidi="ar-SA"/>
              </w:rPr>
            </w:pPr>
            <w:r>
              <w:rPr>
                <w:rFonts w:ascii="Arial" w:hAnsi="Arial" w:eastAsia="宋体" w:cs="Times New Roman"/>
                <w:b/>
                <w:sz w:val="20"/>
                <w:szCs w:val="20"/>
                <w:lang w:val="en-GB" w:eastAsia="en-GB" w:bidi="ar-SA"/>
              </w:rPr>
              <w:t>SCS of SSB signals (kHz)</w:t>
            </w:r>
          </w:p>
        </w:tc>
        <w:tc>
          <w:tcPr>
            <w:tcW w:w="1245" w:type="pct"/>
            <w:vAlign w:val="center"/>
          </w:tcPr>
          <w:p>
            <w:pPr>
              <w:keepNext/>
              <w:keepLines/>
              <w:overflowPunct w:val="0"/>
              <w:autoSpaceDE w:val="0"/>
              <w:autoSpaceDN w:val="0"/>
              <w:adjustRightInd w:val="0"/>
              <w:spacing w:after="0"/>
              <w:jc w:val="center"/>
              <w:textAlignment w:val="baseline"/>
              <w:rPr>
                <w:rFonts w:ascii="Arial" w:hAnsi="Arial" w:eastAsia="宋体" w:cs="Times New Roman"/>
                <w:b/>
                <w:sz w:val="20"/>
                <w:szCs w:val="20"/>
                <w:lang w:val="en-GB" w:eastAsia="en-GB" w:bidi="ar-SA"/>
              </w:rPr>
            </w:pPr>
            <w:r>
              <w:rPr>
                <w:rFonts w:ascii="Arial" w:hAnsi="Arial" w:eastAsia="宋体" w:cs="Times New Roman"/>
                <w:b/>
                <w:sz w:val="20"/>
                <w:szCs w:val="20"/>
                <w:lang w:val="en-GB" w:eastAsia="en-GB" w:bidi="ar-SA"/>
              </w:rPr>
              <w:t>SCS of uplink signals (kHz)</w:t>
            </w:r>
          </w:p>
        </w:tc>
        <w:tc>
          <w:tcPr>
            <w:tcW w:w="1478" w:type="pct"/>
            <w:vAlign w:val="center"/>
          </w:tcPr>
          <w:p>
            <w:pPr>
              <w:keepNext/>
              <w:keepLines/>
              <w:overflowPunct w:val="0"/>
              <w:autoSpaceDE w:val="0"/>
              <w:autoSpaceDN w:val="0"/>
              <w:adjustRightInd w:val="0"/>
              <w:spacing w:after="0"/>
              <w:jc w:val="center"/>
              <w:textAlignment w:val="baseline"/>
              <w:rPr>
                <w:rFonts w:ascii="Arial" w:hAnsi="Arial" w:eastAsia="宋体" w:cs="Times New Roman"/>
                <w:b/>
                <w:sz w:val="20"/>
                <w:szCs w:val="20"/>
                <w:lang w:val="en-GB" w:eastAsia="en-GB" w:bidi="ar-SA"/>
              </w:rPr>
            </w:pPr>
            <w:r>
              <w:rPr>
                <w:rFonts w:ascii="Arial" w:hAnsi="Arial" w:eastAsia="宋体" w:cs="Times New Roman"/>
                <w:b/>
                <w:sz w:val="20"/>
                <w:szCs w:val="20"/>
                <w:lang w:val="en-GB" w:eastAsia="en-GB" w:bidi="ar-SA"/>
              </w:rPr>
              <w:t>T</w:t>
            </w:r>
            <w:r>
              <w:rPr>
                <w:rFonts w:ascii="Arial" w:hAnsi="Arial" w:eastAsia="宋体" w:cs="Times New Roman"/>
                <w:b/>
                <w:sz w:val="20"/>
                <w:szCs w:val="20"/>
                <w:vertAlign w:val="subscript"/>
                <w:lang w:val="en-GB" w:eastAsia="en-GB" w:bidi="ar-SA"/>
              </w:rPr>
              <w:t>e</w:t>
            </w:r>
            <w:r>
              <w:rPr>
                <w:rFonts w:ascii="Arial" w:hAnsi="Arial" w:eastAsia="Times New Roman" w:cs="Times New Roman"/>
                <w:b/>
                <w:sz w:val="20"/>
                <w:szCs w:val="20"/>
                <w:vertAlign w:val="subscript"/>
                <w:lang w:val="en-GB" w:eastAsia="en-GB" w:bidi="ar-SA"/>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zh-CN" w:bidi="ar-SA"/>
              </w:rPr>
              <w:t>FR2-NTN</w:t>
            </w:r>
          </w:p>
        </w:tc>
        <w:tc>
          <w:tcPr>
            <w:tcW w:w="1244" w:type="pct"/>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zh-CN" w:bidi="ar-SA"/>
              </w:rPr>
              <w:t>120</w:t>
            </w: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zh-CN" w:bidi="ar-SA"/>
              </w:rPr>
            </w:pPr>
            <w:r>
              <w:rPr>
                <w:rFonts w:ascii="Arial" w:hAnsi="Arial" w:eastAsia="宋体" w:cs="Times New Roman"/>
                <w:sz w:val="20"/>
                <w:szCs w:val="20"/>
                <w:lang w:val="en-GB" w:eastAsia="zh-CN" w:bidi="ar-SA"/>
              </w:rPr>
              <w:t>60</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13*64*T</w:t>
            </w:r>
            <w:r>
              <w:rPr>
                <w:rFonts w:ascii="Arial" w:hAnsi="Arial" w:eastAsia="宋体" w:cs="Times New Roman"/>
                <w:sz w:val="20"/>
                <w:szCs w:val="20"/>
                <w:vertAlign w:val="subscript"/>
                <w:lang w:val="en-GB" w:eastAsia="en-GB"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4" w:type="pct"/>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120</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7.5*64*T</w:t>
            </w:r>
            <w:r>
              <w:rPr>
                <w:rFonts w:ascii="Arial" w:hAnsi="Arial" w:eastAsia="宋体" w:cs="Times New Roman"/>
                <w:sz w:val="20"/>
                <w:szCs w:val="20"/>
                <w:vertAlign w:val="subscript"/>
                <w:lang w:val="en-GB" w:eastAsia="en-GB"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4" w:type="pct"/>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240</w:t>
            </w: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60</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13*64*T</w:t>
            </w:r>
            <w:r>
              <w:rPr>
                <w:rFonts w:ascii="Arial" w:hAnsi="Arial" w:eastAsia="宋体" w:cs="Times New Roman"/>
                <w:sz w:val="20"/>
                <w:szCs w:val="20"/>
                <w:vertAlign w:val="subscript"/>
                <w:lang w:val="en-GB" w:eastAsia="en-GB"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4" w:type="pct"/>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120</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7.5*64*T</w:t>
            </w:r>
            <w:r>
              <w:rPr>
                <w:rFonts w:ascii="Arial" w:hAnsi="Arial" w:eastAsia="宋体" w:cs="Times New Roman"/>
                <w:sz w:val="20"/>
                <w:szCs w:val="20"/>
                <w:vertAlign w:val="subscript"/>
                <w:lang w:val="en-GB" w:eastAsia="en-GB"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keepNext/>
              <w:keepLines/>
              <w:overflowPunct w:val="0"/>
              <w:autoSpaceDE w:val="0"/>
              <w:autoSpaceDN w:val="0"/>
              <w:adjustRightInd w:val="0"/>
              <w:spacing w:after="0"/>
              <w:ind w:left="851" w:hanging="851"/>
              <w:textAlignment w:val="baseline"/>
              <w:rPr>
                <w:rFonts w:ascii="Arial" w:hAnsi="Arial" w:eastAsia="宋体" w:cs="Times New Roman"/>
                <w:sz w:val="20"/>
                <w:szCs w:val="20"/>
                <w:lang w:val="en-GB" w:eastAsia="en-GB" w:bidi="ar-SA"/>
              </w:rPr>
            </w:pPr>
            <w:r>
              <w:rPr>
                <w:rFonts w:ascii="Arial" w:hAnsi="Arial" w:eastAsia="宋体" w:cs="Arial"/>
                <w:sz w:val="20"/>
                <w:szCs w:val="20"/>
                <w:lang w:val="en-GB" w:eastAsia="en-GB" w:bidi="ar-SA"/>
              </w:rPr>
              <w:t>Note</w:t>
            </w:r>
            <w:r>
              <w:rPr>
                <w:rFonts w:ascii="Arial" w:hAnsi="Arial" w:eastAsia="宋体" w:cs="Times New Roman"/>
                <w:sz w:val="20"/>
                <w:szCs w:val="20"/>
                <w:lang w:val="en-GB" w:eastAsia="en-GB" w:bidi="ar-SA"/>
              </w:rPr>
              <w:t xml:space="preserve"> 1:</w:t>
            </w:r>
            <w:r>
              <w:rPr>
                <w:rFonts w:ascii="Arial" w:hAnsi="Arial" w:eastAsia="宋体" w:cs="Times New Roman"/>
                <w:sz w:val="20"/>
                <w:szCs w:val="20"/>
                <w:lang w:val="en-GB" w:eastAsia="en-GB" w:bidi="ar-SA"/>
              </w:rPr>
              <w:tab/>
            </w:r>
            <w:r>
              <w:rPr>
                <w:rFonts w:ascii="Arial" w:hAnsi="Arial" w:eastAsia="宋体" w:cs="Times New Roman"/>
                <w:sz w:val="20"/>
                <w:szCs w:val="20"/>
                <w:lang w:val="en-GB" w:eastAsia="en-GB" w:bidi="ar-SA"/>
              </w:rPr>
              <w:t>T</w:t>
            </w:r>
            <w:r>
              <w:rPr>
                <w:rFonts w:ascii="Arial" w:hAnsi="Arial" w:eastAsia="宋体" w:cs="Times New Roman"/>
                <w:sz w:val="20"/>
                <w:szCs w:val="20"/>
                <w:vertAlign w:val="subscript"/>
                <w:lang w:val="en-GB" w:eastAsia="en-GB" w:bidi="ar-SA"/>
              </w:rPr>
              <w:t>c</w:t>
            </w:r>
            <w:r>
              <w:rPr>
                <w:rFonts w:ascii="Arial" w:hAnsi="Arial" w:eastAsia="宋体" w:cs="Times New Roman"/>
                <w:sz w:val="20"/>
                <w:szCs w:val="20"/>
                <w:lang w:val="en-GB" w:eastAsia="en-GB" w:bidi="ar-SA"/>
              </w:rPr>
              <w:t xml:space="preserve"> is the basic timing unit defined in TS 38.211 [6]</w:t>
            </w:r>
          </w:p>
        </w:tc>
      </w:tr>
    </w:tbl>
    <w:p>
      <w:pPr>
        <w:keepNext/>
        <w:keepLines/>
        <w:overflowPunct w:val="0"/>
        <w:autoSpaceDE w:val="0"/>
        <w:autoSpaceDN w:val="0"/>
        <w:adjustRightInd w:val="0"/>
        <w:spacing w:before="60" w:after="180"/>
        <w:jc w:val="center"/>
        <w:textAlignment w:val="baseline"/>
        <w:rPr>
          <w:rFonts w:ascii="Arial" w:hAnsi="Arial" w:eastAsia="Times New Roman" w:cs="Times New Roman"/>
          <w:b/>
          <w:sz w:val="20"/>
          <w:szCs w:val="20"/>
          <w:lang w:val="en-GB" w:eastAsia="en-GB" w:bidi="ar-SA"/>
        </w:rPr>
      </w:pPr>
    </w:p>
    <w:p>
      <w:pPr>
        <w:keepNext/>
        <w:keepLines/>
        <w:overflowPunct w:val="0"/>
        <w:autoSpaceDE w:val="0"/>
        <w:autoSpaceDN w:val="0"/>
        <w:adjustRightInd w:val="0"/>
        <w:spacing w:before="60" w:after="180"/>
        <w:jc w:val="center"/>
        <w:textAlignment w:val="baseline"/>
        <w:rPr>
          <w:rFonts w:ascii="Arial" w:hAnsi="Arial" w:eastAsia="Times New Roman" w:cs="Times New Roman"/>
          <w:b/>
          <w:sz w:val="20"/>
          <w:szCs w:val="20"/>
          <w:lang w:val="en-GB" w:eastAsia="en-GB" w:bidi="ar-SA"/>
        </w:rPr>
      </w:pPr>
      <w:r>
        <w:rPr>
          <w:rFonts w:ascii="Arial" w:hAnsi="Arial" w:eastAsia="Times New Roman" w:cs="Times New Roman"/>
          <w:b/>
          <w:sz w:val="20"/>
          <w:szCs w:val="20"/>
          <w:lang w:val="en-GB" w:eastAsia="en-GB" w:bidi="ar-SA"/>
        </w:rPr>
        <w:t>Table 7.1C.2-3: T</w:t>
      </w:r>
      <w:r>
        <w:rPr>
          <w:rFonts w:ascii="Arial" w:hAnsi="Arial" w:eastAsia="Times New Roman" w:cs="Times New Roman"/>
          <w:b/>
          <w:sz w:val="20"/>
          <w:szCs w:val="20"/>
          <w:vertAlign w:val="subscript"/>
          <w:lang w:val="en-GB" w:eastAsia="en-GB" w:bidi="ar-SA"/>
        </w:rPr>
        <w:t>e_NTN</w:t>
      </w:r>
      <w:r>
        <w:rPr>
          <w:rFonts w:ascii="Arial" w:hAnsi="Arial" w:eastAsia="Times New Roman" w:cs="Times New Roman"/>
          <w:b/>
          <w:sz w:val="20"/>
          <w:szCs w:val="20"/>
          <w:lang w:val="en-GB" w:eastAsia="en-GB" w:bidi="ar-SA"/>
        </w:rPr>
        <w:t xml:space="preserve"> Timing Error Limit for </w:t>
      </w:r>
      <w:r>
        <w:rPr>
          <w:rFonts w:ascii="Arial" w:hAnsi="Arial" w:eastAsia="Times New Roman" w:cs="Times New Roman"/>
          <w:b/>
          <w:sz w:val="20"/>
          <w:szCs w:val="20"/>
          <w:lang w:val="en-GB" w:eastAsia="zh-CN" w:bidi="ar-SA"/>
        </w:rPr>
        <w:t>mobile VSAT is served by GSO</w:t>
      </w:r>
    </w:p>
    <w:tbl>
      <w:tblPr>
        <w:tblStyle w:val="20"/>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8"/>
        <w:gridCol w:w="1476"/>
        <w:gridCol w:w="147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Align w:val="center"/>
          </w:tcPr>
          <w:p>
            <w:pPr>
              <w:keepNext/>
              <w:keepLines/>
              <w:overflowPunct w:val="0"/>
              <w:autoSpaceDE w:val="0"/>
              <w:autoSpaceDN w:val="0"/>
              <w:adjustRightInd w:val="0"/>
              <w:spacing w:after="0"/>
              <w:jc w:val="center"/>
              <w:textAlignment w:val="baseline"/>
              <w:rPr>
                <w:rFonts w:ascii="Arial" w:hAnsi="Arial" w:eastAsia="宋体" w:cs="Times New Roman"/>
                <w:b/>
                <w:sz w:val="20"/>
                <w:szCs w:val="20"/>
                <w:lang w:val="en-GB" w:eastAsia="en-GB" w:bidi="ar-SA"/>
              </w:rPr>
            </w:pPr>
            <w:r>
              <w:rPr>
                <w:rFonts w:ascii="Arial" w:hAnsi="Arial" w:eastAsia="宋体" w:cs="Times New Roman"/>
                <w:b/>
                <w:sz w:val="20"/>
                <w:szCs w:val="20"/>
                <w:lang w:val="en-GB" w:eastAsia="en-GB" w:bidi="ar-SA"/>
              </w:rPr>
              <w:t>Frequency Range</w:t>
            </w:r>
          </w:p>
        </w:tc>
        <w:tc>
          <w:tcPr>
            <w:tcW w:w="1244" w:type="pct"/>
            <w:vAlign w:val="center"/>
          </w:tcPr>
          <w:p>
            <w:pPr>
              <w:keepNext/>
              <w:keepLines/>
              <w:overflowPunct w:val="0"/>
              <w:autoSpaceDE w:val="0"/>
              <w:autoSpaceDN w:val="0"/>
              <w:adjustRightInd w:val="0"/>
              <w:spacing w:after="0"/>
              <w:jc w:val="center"/>
              <w:textAlignment w:val="baseline"/>
              <w:rPr>
                <w:rFonts w:ascii="Arial" w:hAnsi="Arial" w:eastAsia="宋体" w:cs="Times New Roman"/>
                <w:b/>
                <w:sz w:val="20"/>
                <w:szCs w:val="20"/>
                <w:lang w:val="en-GB" w:eastAsia="en-GB" w:bidi="ar-SA"/>
              </w:rPr>
            </w:pPr>
            <w:r>
              <w:rPr>
                <w:rFonts w:ascii="Arial" w:hAnsi="Arial" w:eastAsia="宋体" w:cs="Times New Roman"/>
                <w:b/>
                <w:sz w:val="20"/>
                <w:szCs w:val="20"/>
                <w:lang w:val="en-GB" w:eastAsia="en-GB" w:bidi="ar-SA"/>
              </w:rPr>
              <w:t>SCS of SSB signals (kHz)</w:t>
            </w:r>
          </w:p>
        </w:tc>
        <w:tc>
          <w:tcPr>
            <w:tcW w:w="1245" w:type="pct"/>
            <w:vAlign w:val="center"/>
          </w:tcPr>
          <w:p>
            <w:pPr>
              <w:keepNext/>
              <w:keepLines/>
              <w:overflowPunct w:val="0"/>
              <w:autoSpaceDE w:val="0"/>
              <w:autoSpaceDN w:val="0"/>
              <w:adjustRightInd w:val="0"/>
              <w:spacing w:after="0"/>
              <w:jc w:val="center"/>
              <w:textAlignment w:val="baseline"/>
              <w:rPr>
                <w:rFonts w:ascii="Arial" w:hAnsi="Arial" w:eastAsia="宋体" w:cs="Times New Roman"/>
                <w:b/>
                <w:sz w:val="20"/>
                <w:szCs w:val="20"/>
                <w:lang w:val="en-GB" w:eastAsia="en-GB" w:bidi="ar-SA"/>
              </w:rPr>
            </w:pPr>
            <w:r>
              <w:rPr>
                <w:rFonts w:ascii="Arial" w:hAnsi="Arial" w:eastAsia="宋体" w:cs="Times New Roman"/>
                <w:b/>
                <w:sz w:val="20"/>
                <w:szCs w:val="20"/>
                <w:lang w:val="en-GB" w:eastAsia="en-GB" w:bidi="ar-SA"/>
              </w:rPr>
              <w:t>SCS of uplink signals (kHz)</w:t>
            </w:r>
          </w:p>
        </w:tc>
        <w:tc>
          <w:tcPr>
            <w:tcW w:w="1478" w:type="pct"/>
            <w:vAlign w:val="center"/>
          </w:tcPr>
          <w:p>
            <w:pPr>
              <w:keepNext/>
              <w:keepLines/>
              <w:overflowPunct w:val="0"/>
              <w:autoSpaceDE w:val="0"/>
              <w:autoSpaceDN w:val="0"/>
              <w:adjustRightInd w:val="0"/>
              <w:spacing w:after="0"/>
              <w:jc w:val="center"/>
              <w:textAlignment w:val="baseline"/>
              <w:rPr>
                <w:rFonts w:ascii="Arial" w:hAnsi="Arial" w:eastAsia="宋体" w:cs="Times New Roman"/>
                <w:b/>
                <w:sz w:val="20"/>
                <w:szCs w:val="20"/>
                <w:lang w:val="en-GB" w:eastAsia="en-GB" w:bidi="ar-SA"/>
              </w:rPr>
            </w:pPr>
            <w:r>
              <w:rPr>
                <w:rFonts w:ascii="Arial" w:hAnsi="Arial" w:eastAsia="宋体" w:cs="Times New Roman"/>
                <w:b/>
                <w:sz w:val="20"/>
                <w:szCs w:val="20"/>
                <w:lang w:val="en-GB" w:eastAsia="en-GB" w:bidi="ar-SA"/>
              </w:rPr>
              <w:t>T</w:t>
            </w:r>
            <w:r>
              <w:rPr>
                <w:rFonts w:ascii="Arial" w:hAnsi="Arial" w:eastAsia="宋体" w:cs="Times New Roman"/>
                <w:b/>
                <w:sz w:val="20"/>
                <w:szCs w:val="20"/>
                <w:vertAlign w:val="subscript"/>
                <w:lang w:val="en-GB" w:eastAsia="en-GB" w:bidi="ar-SA"/>
              </w:rPr>
              <w:t>e</w:t>
            </w:r>
            <w:r>
              <w:rPr>
                <w:rFonts w:ascii="Arial" w:hAnsi="Arial" w:eastAsia="Times New Roman" w:cs="Times New Roman"/>
                <w:b/>
                <w:sz w:val="20"/>
                <w:szCs w:val="20"/>
                <w:vertAlign w:val="subscript"/>
                <w:lang w:val="en-GB" w:eastAsia="en-GB" w:bidi="ar-SA"/>
              </w:rPr>
              <w:t>_NTN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zh-CN" w:bidi="ar-SA"/>
              </w:rPr>
              <w:t>FR2-NTN</w:t>
            </w:r>
          </w:p>
        </w:tc>
        <w:tc>
          <w:tcPr>
            <w:tcW w:w="1244" w:type="pct"/>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zh-CN" w:bidi="ar-SA"/>
              </w:rPr>
              <w:t>120</w:t>
            </w: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zh-CN" w:bidi="ar-SA"/>
              </w:rPr>
            </w:pPr>
            <w:r>
              <w:rPr>
                <w:rFonts w:ascii="Arial" w:hAnsi="Arial" w:eastAsia="宋体" w:cs="Times New Roman"/>
                <w:sz w:val="20"/>
                <w:szCs w:val="20"/>
                <w:lang w:val="en-GB" w:eastAsia="zh-CN" w:bidi="ar-SA"/>
              </w:rPr>
              <w:t>60</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13*64*T</w:t>
            </w:r>
            <w:r>
              <w:rPr>
                <w:rFonts w:ascii="Arial" w:hAnsi="Arial" w:eastAsia="宋体" w:cs="Times New Roman"/>
                <w:sz w:val="20"/>
                <w:szCs w:val="20"/>
                <w:vertAlign w:val="subscript"/>
                <w:lang w:val="en-GB" w:eastAsia="en-GB"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7" w:hRule="atLeast"/>
          <w:jc w:val="center"/>
        </w:trPr>
        <w:tc>
          <w:tcPr>
            <w:tcW w:w="1033" w:type="pct"/>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4" w:type="pct"/>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120</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[10]*64*T</w:t>
            </w:r>
            <w:r>
              <w:rPr>
                <w:rFonts w:ascii="Arial" w:hAnsi="Arial" w:eastAsia="宋体" w:cs="Times New Roman"/>
                <w:sz w:val="20"/>
                <w:szCs w:val="20"/>
                <w:vertAlign w:val="subscript"/>
                <w:lang w:val="en-GB" w:eastAsia="en-GB"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5" w:hRule="atLeast"/>
          <w:jc w:val="center"/>
        </w:trPr>
        <w:tc>
          <w:tcPr>
            <w:tcW w:w="1033" w:type="pct"/>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4" w:type="pct"/>
            <w:vMerge w:val="restart"/>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240</w:t>
            </w: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60</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13*64*T</w:t>
            </w:r>
            <w:r>
              <w:rPr>
                <w:rFonts w:ascii="Arial" w:hAnsi="Arial" w:eastAsia="宋体" w:cs="Times New Roman"/>
                <w:sz w:val="20"/>
                <w:szCs w:val="20"/>
                <w:vertAlign w:val="subscript"/>
                <w:lang w:val="en-GB" w:eastAsia="en-GB"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33" w:type="pct"/>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4" w:type="pct"/>
            <w:vMerge w:val="continue"/>
            <w:vAlign w:val="center"/>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p>
        </w:tc>
        <w:tc>
          <w:tcPr>
            <w:tcW w:w="1245"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120</w:t>
            </w:r>
          </w:p>
        </w:tc>
        <w:tc>
          <w:tcPr>
            <w:tcW w:w="1478" w:type="pct"/>
          </w:tcPr>
          <w:p>
            <w:pPr>
              <w:keepNext/>
              <w:keepLines/>
              <w:overflowPunct w:val="0"/>
              <w:autoSpaceDE w:val="0"/>
              <w:autoSpaceDN w:val="0"/>
              <w:adjustRightInd w:val="0"/>
              <w:spacing w:after="0"/>
              <w:jc w:val="center"/>
              <w:textAlignment w:val="baseline"/>
              <w:rPr>
                <w:rFonts w:ascii="Arial" w:hAnsi="Arial" w:eastAsia="宋体" w:cs="Times New Roman"/>
                <w:sz w:val="20"/>
                <w:szCs w:val="20"/>
                <w:lang w:val="en-GB" w:eastAsia="en-GB" w:bidi="ar-SA"/>
              </w:rPr>
            </w:pPr>
            <w:r>
              <w:rPr>
                <w:rFonts w:ascii="Arial" w:hAnsi="Arial" w:eastAsia="宋体" w:cs="Times New Roman"/>
                <w:sz w:val="20"/>
                <w:szCs w:val="20"/>
                <w:lang w:val="en-GB" w:eastAsia="en-GB" w:bidi="ar-SA"/>
              </w:rPr>
              <w:t>[10]*64*T</w:t>
            </w:r>
            <w:r>
              <w:rPr>
                <w:rFonts w:ascii="Arial" w:hAnsi="Arial" w:eastAsia="宋体" w:cs="Times New Roman"/>
                <w:sz w:val="20"/>
                <w:szCs w:val="20"/>
                <w:vertAlign w:val="subscript"/>
                <w:lang w:val="en-GB" w:eastAsia="en-GB" w:bidi="ar-SA"/>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Pr>
          <w:p>
            <w:pPr>
              <w:keepNext/>
              <w:keepLines/>
              <w:overflowPunct w:val="0"/>
              <w:autoSpaceDE w:val="0"/>
              <w:autoSpaceDN w:val="0"/>
              <w:adjustRightInd w:val="0"/>
              <w:spacing w:after="0"/>
              <w:ind w:left="851" w:hanging="851"/>
              <w:textAlignment w:val="baseline"/>
              <w:rPr>
                <w:rFonts w:ascii="Arial" w:hAnsi="Arial" w:eastAsia="宋体" w:cs="Times New Roman"/>
                <w:sz w:val="20"/>
                <w:szCs w:val="20"/>
                <w:lang w:val="en-GB" w:eastAsia="en-GB" w:bidi="ar-SA"/>
              </w:rPr>
            </w:pPr>
            <w:r>
              <w:rPr>
                <w:rFonts w:ascii="Arial" w:hAnsi="Arial" w:eastAsia="宋体" w:cs="Arial"/>
                <w:sz w:val="20"/>
                <w:szCs w:val="20"/>
                <w:lang w:val="en-GB" w:eastAsia="en-GB" w:bidi="ar-SA"/>
              </w:rPr>
              <w:t>Note</w:t>
            </w:r>
            <w:r>
              <w:rPr>
                <w:rFonts w:ascii="Arial" w:hAnsi="Arial" w:eastAsia="宋体" w:cs="Times New Roman"/>
                <w:sz w:val="20"/>
                <w:szCs w:val="20"/>
                <w:lang w:val="en-GB" w:eastAsia="en-GB" w:bidi="ar-SA"/>
              </w:rPr>
              <w:t xml:space="preserve"> 1:</w:t>
            </w:r>
            <w:r>
              <w:rPr>
                <w:rFonts w:ascii="Arial" w:hAnsi="Arial" w:eastAsia="宋体" w:cs="Times New Roman"/>
                <w:sz w:val="20"/>
                <w:szCs w:val="20"/>
                <w:lang w:val="en-GB" w:eastAsia="en-GB" w:bidi="ar-SA"/>
              </w:rPr>
              <w:tab/>
            </w:r>
            <w:r>
              <w:rPr>
                <w:rFonts w:ascii="Arial" w:hAnsi="Arial" w:eastAsia="宋体" w:cs="Times New Roman"/>
                <w:sz w:val="20"/>
                <w:szCs w:val="20"/>
                <w:lang w:val="en-GB" w:eastAsia="en-GB" w:bidi="ar-SA"/>
              </w:rPr>
              <w:t>T</w:t>
            </w:r>
            <w:r>
              <w:rPr>
                <w:rFonts w:ascii="Arial" w:hAnsi="Arial" w:eastAsia="宋体" w:cs="Times New Roman"/>
                <w:sz w:val="20"/>
                <w:szCs w:val="20"/>
                <w:vertAlign w:val="subscript"/>
                <w:lang w:val="en-GB" w:eastAsia="en-GB" w:bidi="ar-SA"/>
              </w:rPr>
              <w:t>c</w:t>
            </w:r>
            <w:r>
              <w:rPr>
                <w:rFonts w:ascii="Arial" w:hAnsi="Arial" w:eastAsia="宋体" w:cs="Times New Roman"/>
                <w:sz w:val="20"/>
                <w:szCs w:val="20"/>
                <w:lang w:val="en-GB" w:eastAsia="en-GB" w:bidi="ar-SA"/>
              </w:rPr>
              <w:t xml:space="preserve"> is the basic timing unit defined in TS 38.211 [6]</w:t>
            </w:r>
          </w:p>
        </w:tc>
      </w:tr>
    </w:tbl>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As we can see, the T</w:t>
      </w:r>
      <w:r>
        <w:rPr>
          <w:rFonts w:hint="eastAsia"/>
          <w:kern w:val="2"/>
          <w:sz w:val="20"/>
          <w:szCs w:val="20"/>
          <w:vertAlign w:val="subscript"/>
          <w:lang w:val="en-US" w:eastAsia="zh-CN"/>
        </w:rPr>
        <w:t>e_NTN</w:t>
      </w:r>
      <w:r>
        <w:rPr>
          <w:rFonts w:hint="eastAsia"/>
          <w:kern w:val="2"/>
          <w:sz w:val="20"/>
          <w:szCs w:val="20"/>
          <w:lang w:val="en-US" w:eastAsia="zh-CN"/>
        </w:rPr>
        <w:t>, which is the UL transmit timing error, is smaller than CP/2 in FR1, FR2-NTN fixed VSAT, and FR2-2 NTN mobile VSAT UL 60kHz SCS case. While in FR2-2 NTN mobile VSAT UL 120kHz SCS case, the T</w:t>
      </w:r>
      <w:r>
        <w:rPr>
          <w:rFonts w:hint="eastAsia"/>
          <w:kern w:val="2"/>
          <w:sz w:val="20"/>
          <w:szCs w:val="20"/>
          <w:vertAlign w:val="subscript"/>
          <w:lang w:val="en-US" w:eastAsia="zh-CN"/>
        </w:rPr>
        <w:t>e_NTN</w:t>
      </w:r>
      <w:r>
        <w:rPr>
          <w:rFonts w:hint="eastAsia"/>
          <w:kern w:val="2"/>
          <w:sz w:val="20"/>
          <w:szCs w:val="20"/>
          <w:lang w:val="en-US" w:eastAsia="zh-CN"/>
        </w:rPr>
        <w:t xml:space="preserve"> is larger than CP/2.</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Thereby, for the minimum possible value for TA-common, in FR2-2 NTN mobile VSAT UL 120kHz SCS case, we think it would be a problem to stick to 0, and it is meaningful to introduce negative values for ta-Common, which can leave more implementation flexibility for network.</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It is meaningful to introduce negative values for ta-Common, especially for FR2-2 NTN mobile VSAT UL 60kHz SCS case.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kern w:val="2"/>
          <w:sz w:val="20"/>
          <w:szCs w:val="20"/>
          <w:lang w:val="en-US" w:eastAsia="zh-CN"/>
        </w:rPr>
      </w:pPr>
      <w:r>
        <w:rPr>
          <w:rFonts w:hint="eastAsia"/>
          <w:kern w:val="2"/>
          <w:sz w:val="20"/>
          <w:szCs w:val="20"/>
          <w:lang w:val="en-US" w:eastAsia="zh-CN"/>
        </w:rPr>
        <w:t>Based on above analysis, we prepare the reply LS in our companion paper [3].</w:t>
      </w:r>
    </w:p>
    <w:p>
      <w:pPr>
        <w:outlineLvl w:val="9"/>
        <w:rPr>
          <w:rFonts w:hint="eastAsia"/>
          <w:b/>
          <w:i/>
          <w:iCs/>
          <w:sz w:val="20"/>
          <w:szCs w:val="20"/>
          <w:highlight w:val="none"/>
          <w:u w:val="single"/>
          <w:lang w:val="en-US" w:eastAsia="zh-CN"/>
        </w:rPr>
      </w:pPr>
    </w:p>
    <w:p>
      <w:pPr>
        <w:outlineLvl w:val="9"/>
        <w:rPr>
          <w:rFonts w:hint="eastAsia"/>
          <w:b/>
          <w:i/>
          <w:iCs/>
          <w:sz w:val="20"/>
          <w:szCs w:val="20"/>
          <w:highlight w:val="none"/>
          <w:u w:val="single"/>
          <w:lang w:val="en-US" w:eastAsia="zh-CN"/>
        </w:rPr>
      </w:pPr>
      <w:r>
        <w:rPr>
          <w:rFonts w:hint="eastAsia"/>
          <w:b/>
          <w:i/>
          <w:iCs/>
          <w:sz w:val="20"/>
          <w:szCs w:val="20"/>
          <w:highlight w:val="none"/>
          <w:u w:val="single"/>
          <w:lang w:val="en-US" w:eastAsia="ko-KR"/>
        </w:rPr>
        <w:t>Issue 5-</w:t>
      </w:r>
      <w:r>
        <w:rPr>
          <w:rFonts w:hint="eastAsia"/>
          <w:b/>
          <w:i/>
          <w:iCs/>
          <w:sz w:val="20"/>
          <w:szCs w:val="20"/>
          <w:highlight w:val="none"/>
          <w:u w:val="single"/>
          <w:lang w:val="en-US" w:eastAsia="zh-CN"/>
        </w:rPr>
        <w:t>3-2</w:t>
      </w:r>
      <w:r>
        <w:rPr>
          <w:rFonts w:hint="eastAsia"/>
          <w:b/>
          <w:i/>
          <w:iCs/>
          <w:sz w:val="20"/>
          <w:szCs w:val="20"/>
          <w:highlight w:val="none"/>
          <w:u w:val="single"/>
          <w:lang w:val="en-US" w:eastAsia="ko-KR"/>
        </w:rPr>
        <w:t>: RRM requirements for RRC Connection Mobility Control</w:t>
      </w:r>
      <w:r>
        <w:rPr>
          <w:rFonts w:hint="eastAsia"/>
          <w:b/>
          <w:i/>
          <w:iCs/>
          <w:sz w:val="20"/>
          <w:szCs w:val="20"/>
          <w:highlight w:val="none"/>
          <w:u w:val="single"/>
          <w:lang w:val="en-US" w:eastAsia="zh-CN"/>
        </w:rPr>
        <w:t xml:space="preserve"> with regenerative payload</w:t>
      </w:r>
    </w:p>
    <w:p>
      <w:pPr>
        <w:outlineLvl w:val="9"/>
        <w:rPr>
          <w:rFonts w:hint="eastAsia"/>
          <w:b/>
          <w:bCs w:val="0"/>
          <w:i/>
          <w:iCs/>
          <w:sz w:val="20"/>
          <w:szCs w:val="20"/>
          <w:highlight w:val="none"/>
          <w:u w:val="none"/>
          <w:lang w:val="en-GB" w:eastAsia="zh-CN"/>
        </w:rPr>
      </w:pPr>
      <w:r>
        <w:rPr>
          <w:rFonts w:hint="eastAsia"/>
          <w:b/>
          <w:bCs w:val="0"/>
          <w:i/>
          <w:iCs/>
          <w:sz w:val="20"/>
          <w:szCs w:val="20"/>
          <w:highlight w:val="none"/>
          <w:u w:val="none"/>
          <w:lang w:val="en-US" w:eastAsia="ko-KR"/>
        </w:rPr>
        <w:t xml:space="preserve">&lt;Way Forward&gt; </w:t>
      </w:r>
      <w:r>
        <w:rPr>
          <w:rFonts w:hint="eastAsia"/>
          <w:b/>
          <w:bCs w:val="0"/>
          <w:i/>
          <w:iCs/>
          <w:sz w:val="20"/>
          <w:szCs w:val="20"/>
          <w:highlight w:val="none"/>
          <w:u w:val="none"/>
          <w:lang w:val="en-US" w:eastAsia="zh-CN"/>
        </w:rPr>
        <w:t>:</w:t>
      </w:r>
      <w:r>
        <w:rPr>
          <w:rFonts w:hint="eastAsia"/>
          <w:b/>
          <w:bCs w:val="0"/>
          <w:i/>
          <w:iCs/>
          <w:sz w:val="20"/>
          <w:szCs w:val="20"/>
          <w:highlight w:val="none"/>
          <w:u w:val="none"/>
          <w:lang w:val="en-US" w:eastAsia="ko-KR"/>
        </w:rPr>
        <w:t xml:space="preserve"> Further discuss the following proposal</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Whether to update the specific RRM requirements for RRC re-establishment with regenerative payload should wait for RAN2/RAN3 progress.</w:t>
      </w:r>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Whether to update the specific RRM requirements for satellite switch and RACH-less handover with regenerative payload should wait for RAN2 progress.</w:t>
      </w:r>
      <w:bookmarkStart w:id="9" w:name="_GoBack"/>
      <w:bookmarkEnd w:id="9"/>
    </w:p>
    <w:p>
      <w:pPr>
        <w:numPr>
          <w:ilvl w:val="0"/>
          <w:numId w:val="6"/>
        </w:numPr>
        <w:spacing w:after="120"/>
        <w:ind w:left="720"/>
        <w:contextualSpacing w:val="0"/>
        <w:rPr>
          <w:rFonts w:hint="eastAsia" w:ascii="Times New Roman" w:hAnsi="Times New Roman" w:eastAsia="宋体" w:cs="Times New Roman"/>
          <w:i/>
          <w:iCs/>
          <w:sz w:val="20"/>
          <w:szCs w:val="20"/>
          <w:lang w:val="en-US" w:eastAsia="zh-CN" w:bidi="ar-SA"/>
        </w:rPr>
      </w:pPr>
      <w:r>
        <w:rPr>
          <w:rFonts w:hint="eastAsia" w:ascii="Times New Roman" w:hAnsi="Times New Roman" w:eastAsia="宋体" w:cs="Times New Roman"/>
          <w:i/>
          <w:iCs/>
          <w:sz w:val="20"/>
          <w:szCs w:val="20"/>
          <w:lang w:val="en-US" w:eastAsia="zh-CN" w:bidi="ar-SA"/>
        </w:rPr>
        <w:t>FFS: RAN4 to clarify requirement of satellite switching without PCI change is not applied for regenerative mode of NTN.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kern w:val="2"/>
          <w:sz w:val="20"/>
          <w:szCs w:val="20"/>
          <w:lang w:val="en-US" w:eastAsia="zh-CN"/>
        </w:rPr>
      </w:pPr>
      <w:r>
        <w:rPr>
          <w:rFonts w:hint="eastAsia"/>
          <w:kern w:val="2"/>
          <w:sz w:val="20"/>
          <w:szCs w:val="20"/>
          <w:lang w:val="en-US" w:eastAsia="zh-CN"/>
        </w:rPr>
        <w:t xml:space="preserve">According to the RAN plenary progress, satellite switching with re-sync over Regenerative Architecture will not be pursued in REL-19. Therefore, the requirement of satellite switching with re-sync will not be applied for NTN regenerative mode. </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3: The requirement of satellite switching with re-sync will not be applied for NTN regenerative mode. </w:t>
      </w:r>
    </w:p>
    <w:p>
      <w:pPr>
        <w:outlineLvl w:val="9"/>
        <w:rPr>
          <w:rFonts w:hint="eastAsia"/>
          <w:b/>
          <w:i/>
          <w:iCs/>
          <w:sz w:val="20"/>
          <w:szCs w:val="20"/>
          <w:highlight w:val="none"/>
          <w:u w:val="single"/>
          <w:lang w:val="en-US" w:eastAsia="zh-CN"/>
        </w:rPr>
      </w:pPr>
    </w:p>
    <w:bookmarkEnd w:id="5"/>
    <w:bookmarkEnd w:id="8"/>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rPr>
          <w:sz w:val="20"/>
          <w:szCs w:val="20"/>
        </w:rPr>
      </w:pPr>
      <w:r>
        <w:rPr>
          <w:sz w:val="20"/>
          <w:szCs w:val="20"/>
        </w:rPr>
        <w:t xml:space="preserve">Based on the discussion above, the following observations and proposals are concluded. </w:t>
      </w:r>
      <w:bookmarkEnd w:id="6"/>
      <w:bookmarkEnd w:id="7"/>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Observation 1: Almost all RRM requirements will be impacted if RAN1/2 will extend the SSB/SMTC/MG periodicity larger than 320ms (the smallest DRX cycle).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1: RAN4 to wait for more progress from RAN1/2 on SSB periodicity extension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default"/>
          <w:b/>
          <w:bCs/>
          <w:i/>
          <w:iCs/>
          <w:sz w:val="20"/>
          <w:szCs w:val="20"/>
          <w:lang w:val="en-US" w:eastAsia="zh-CN"/>
        </w:rPr>
      </w:pPr>
      <w:r>
        <w:rPr>
          <w:rFonts w:hint="eastAsia"/>
          <w:b/>
          <w:bCs/>
          <w:i/>
          <w:iCs/>
          <w:sz w:val="20"/>
          <w:szCs w:val="20"/>
          <w:lang w:val="en-US" w:eastAsia="zh-CN"/>
        </w:rPr>
        <w:t>Observation 2: RAN1 implicitly support TA margin through TA common configuration, e.g., if the ideal TA common = X, network could configure TA common = Y, which Y = X - TA margin.</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Proposal 2: It is meaningful to introduce negative values for ta-Common, especially for FR2-2 NTN mobile VSAT UL 60kHz SCS case.</w:t>
      </w:r>
    </w:p>
    <w:p>
      <w:pPr>
        <w:keepNext w:val="0"/>
        <w:keepLines w:val="0"/>
        <w:pageBreakBefore w:val="0"/>
        <w:widowControl/>
        <w:tabs>
          <w:tab w:val="left" w:pos="1134"/>
        </w:tabs>
        <w:kinsoku/>
        <w:wordWrap/>
        <w:overflowPunct/>
        <w:topLinePunct w:val="0"/>
        <w:autoSpaceDE/>
        <w:autoSpaceDN/>
        <w:bidi w:val="0"/>
        <w:adjustRightInd/>
        <w:snapToGrid/>
        <w:spacing w:before="157" w:beforeLines="50" w:line="240" w:lineRule="auto"/>
        <w:jc w:val="both"/>
        <w:textAlignment w:val="auto"/>
        <w:rPr>
          <w:rFonts w:hint="eastAsia"/>
          <w:b/>
          <w:bCs/>
          <w:i/>
          <w:iCs/>
          <w:sz w:val="20"/>
          <w:szCs w:val="20"/>
          <w:lang w:val="en-US" w:eastAsia="zh-CN"/>
        </w:rPr>
      </w:pPr>
      <w:r>
        <w:rPr>
          <w:rFonts w:hint="eastAsia"/>
          <w:b/>
          <w:bCs/>
          <w:i/>
          <w:iCs/>
          <w:sz w:val="20"/>
          <w:szCs w:val="20"/>
          <w:lang w:val="en-US" w:eastAsia="zh-CN"/>
        </w:rPr>
        <w:t xml:space="preserve">Proposal 3: The requirement of satellite switching with re-sync will not be applied for NTN regenerative mode. </w:t>
      </w:r>
    </w:p>
    <w:p>
      <w:pPr>
        <w:pStyle w:val="2"/>
        <w:numPr>
          <w:ilvl w:val="0"/>
          <w:numId w:val="5"/>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11"/>
        </w:numPr>
        <w:rPr>
          <w:rFonts w:hint="eastAsia"/>
          <w:sz w:val="20"/>
          <w:szCs w:val="20"/>
          <w:lang w:val="en-US" w:eastAsia="zh-CN"/>
        </w:rPr>
      </w:pPr>
      <w:r>
        <w:rPr>
          <w:rFonts w:hint="eastAsia"/>
          <w:sz w:val="20"/>
          <w:szCs w:val="20"/>
          <w:lang w:val="en-US" w:eastAsia="zh-CN"/>
        </w:rPr>
        <w:t>R4-2414037, The WF on RRM requirements for Rel-19 NR NTN phase3, CATT</w:t>
      </w:r>
    </w:p>
    <w:p>
      <w:pPr>
        <w:numPr>
          <w:ilvl w:val="0"/>
          <w:numId w:val="11"/>
        </w:numPr>
        <w:rPr>
          <w:rFonts w:hint="default" w:eastAsiaTheme="minorEastAsia"/>
          <w:sz w:val="20"/>
          <w:szCs w:val="20"/>
          <w:lang w:val="en-US" w:eastAsia="zh-CN"/>
        </w:rPr>
      </w:pPr>
      <w:r>
        <w:rPr>
          <w:rFonts w:hint="eastAsia"/>
          <w:sz w:val="20"/>
          <w:szCs w:val="20"/>
          <w:lang w:val="en-US" w:eastAsia="zh-CN"/>
        </w:rPr>
        <w:t>R2-2407623, LS on common TA in a regenerative payload scenario, RAN2, CMCC</w:t>
      </w:r>
    </w:p>
    <w:p>
      <w:pPr>
        <w:numPr>
          <w:ilvl w:val="0"/>
          <w:numId w:val="11"/>
        </w:numPr>
        <w:rPr>
          <w:rFonts w:hint="default" w:eastAsiaTheme="minorEastAsia"/>
          <w:sz w:val="20"/>
          <w:szCs w:val="20"/>
          <w:lang w:val="en-US" w:eastAsia="zh-CN"/>
        </w:rPr>
      </w:pPr>
      <w:r>
        <w:rPr>
          <w:rFonts w:hint="eastAsia"/>
          <w:sz w:val="20"/>
          <w:szCs w:val="20"/>
          <w:lang w:val="en-US" w:eastAsia="zh-CN"/>
        </w:rPr>
        <w:t>R4-2415011, Reply LS on common TA in a regenerative payload scenario, CMCC</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2D6686"/>
    <w:multiLevelType w:val="multilevel"/>
    <w:tmpl w:val="212D6686"/>
    <w:lvl w:ilvl="0" w:tentative="0">
      <w:start w:val="5"/>
      <w:numFmt w:val="bullet"/>
      <w:lvlText w:val="-"/>
      <w:lvlJc w:val="left"/>
      <w:pPr>
        <w:tabs>
          <w:tab w:val="left" w:pos="0"/>
        </w:tabs>
        <w:ind w:left="846" w:hanging="420"/>
      </w:pPr>
      <w:rPr>
        <w:rFonts w:hint="default" w:ascii="Times New Roman" w:hAnsi="Times New Roman" w:cs="Times New Roman"/>
      </w:rPr>
    </w:lvl>
    <w:lvl w:ilvl="1" w:tentative="0">
      <w:start w:val="5"/>
      <w:numFmt w:val="bullet"/>
      <w:lvlText w:val="-"/>
      <w:lvlJc w:val="left"/>
      <w:pPr>
        <w:tabs>
          <w:tab w:val="left" w:pos="0"/>
        </w:tabs>
        <w:ind w:left="1266" w:hanging="420"/>
      </w:pPr>
      <w:rPr>
        <w:rFonts w:hint="default" w:ascii="Times New Roman" w:hAnsi="Times New Roman" w:cs="Times New Roman"/>
      </w:rPr>
    </w:lvl>
    <w:lvl w:ilvl="2" w:tentative="0">
      <w:start w:val="3"/>
      <w:numFmt w:val="bullet"/>
      <w:lvlText w:val="-"/>
      <w:lvlJc w:val="left"/>
      <w:pPr>
        <w:tabs>
          <w:tab w:val="left" w:pos="0"/>
        </w:tabs>
        <w:ind w:left="1686" w:hanging="420"/>
      </w:pPr>
      <w:rPr>
        <w:rFonts w:hint="default" w:ascii="Times New Roman" w:hAnsi="Times New Roman" w:cs="Times New Roman"/>
      </w:rPr>
    </w:lvl>
    <w:lvl w:ilvl="3" w:tentative="0">
      <w:start w:val="3"/>
      <w:numFmt w:val="bullet"/>
      <w:lvlText w:val="-"/>
      <w:lvlJc w:val="left"/>
      <w:pPr>
        <w:tabs>
          <w:tab w:val="left" w:pos="0"/>
        </w:tabs>
        <w:ind w:left="2106" w:hanging="420"/>
      </w:pPr>
      <w:rPr>
        <w:rFonts w:hint="default" w:ascii="Times New Roman" w:hAnsi="Times New Roman" w:cs="Times New Roman"/>
      </w:rPr>
    </w:lvl>
    <w:lvl w:ilvl="4" w:tentative="0">
      <w:start w:val="1"/>
      <w:numFmt w:val="bullet"/>
      <w:lvlText w:val=""/>
      <w:lvlJc w:val="left"/>
      <w:pPr>
        <w:tabs>
          <w:tab w:val="left" w:pos="0"/>
        </w:tabs>
        <w:ind w:left="2526" w:hanging="420"/>
      </w:pPr>
      <w:rPr>
        <w:rFonts w:hint="default" w:ascii="Wingdings" w:hAnsi="Wingdings" w:cs="Wingdings"/>
      </w:rPr>
    </w:lvl>
    <w:lvl w:ilvl="5" w:tentative="0">
      <w:start w:val="1"/>
      <w:numFmt w:val="bullet"/>
      <w:lvlText w:val=""/>
      <w:lvlJc w:val="left"/>
      <w:pPr>
        <w:tabs>
          <w:tab w:val="left" w:pos="0"/>
        </w:tabs>
        <w:ind w:left="2946" w:hanging="420"/>
      </w:pPr>
      <w:rPr>
        <w:rFonts w:hint="default" w:ascii="Wingdings" w:hAnsi="Wingdings" w:cs="Wingdings"/>
      </w:rPr>
    </w:lvl>
    <w:lvl w:ilvl="6" w:tentative="0">
      <w:start w:val="1"/>
      <w:numFmt w:val="bullet"/>
      <w:lvlText w:val=""/>
      <w:lvlJc w:val="left"/>
      <w:pPr>
        <w:tabs>
          <w:tab w:val="left" w:pos="0"/>
        </w:tabs>
        <w:ind w:left="3366" w:hanging="420"/>
      </w:pPr>
      <w:rPr>
        <w:rFonts w:hint="default" w:ascii="Wingdings" w:hAnsi="Wingdings" w:cs="Wingdings"/>
      </w:rPr>
    </w:lvl>
    <w:lvl w:ilvl="7" w:tentative="0">
      <w:start w:val="1"/>
      <w:numFmt w:val="bullet"/>
      <w:lvlText w:val=""/>
      <w:lvlJc w:val="left"/>
      <w:pPr>
        <w:tabs>
          <w:tab w:val="left" w:pos="0"/>
        </w:tabs>
        <w:ind w:left="3786" w:hanging="420"/>
      </w:pPr>
      <w:rPr>
        <w:rFonts w:hint="default" w:ascii="Wingdings" w:hAnsi="Wingdings" w:cs="Wingdings"/>
      </w:rPr>
    </w:lvl>
    <w:lvl w:ilvl="8" w:tentative="0">
      <w:start w:val="1"/>
      <w:numFmt w:val="bullet"/>
      <w:lvlText w:val=""/>
      <w:lvlJc w:val="left"/>
      <w:pPr>
        <w:tabs>
          <w:tab w:val="left" w:pos="0"/>
        </w:tabs>
        <w:ind w:left="4206" w:hanging="420"/>
      </w:pPr>
      <w:rPr>
        <w:rFonts w:hint="default" w:ascii="Wingdings" w:hAnsi="Wingdings" w:cs="Wingdings"/>
      </w:rPr>
    </w:lvl>
  </w:abstractNum>
  <w:abstractNum w:abstractNumId="1">
    <w:nsid w:val="21305F52"/>
    <w:multiLevelType w:val="multilevel"/>
    <w:tmpl w:val="21305F5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0"/>
      <w:numFmt w:val="bullet"/>
      <w:lvlText w:val="•"/>
      <w:lvlJc w:val="left"/>
      <w:pPr>
        <w:ind w:left="2604" w:hanging="804"/>
      </w:pPr>
      <w:rPr>
        <w:rFonts w:hint="default" w:ascii="Times" w:hAnsi="Times" w:eastAsia="Batang" w:cs="Time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88872B9"/>
    <w:multiLevelType w:val="multilevel"/>
    <w:tmpl w:val="388872B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4C396493"/>
    <w:multiLevelType w:val="multilevel"/>
    <w:tmpl w:val="4C3964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D6E3167"/>
    <w:multiLevelType w:val="multilevel"/>
    <w:tmpl w:val="4D6E3167"/>
    <w:lvl w:ilvl="0" w:tentative="0">
      <w:start w:val="1"/>
      <w:numFmt w:val="decimal"/>
      <w:pStyle w:val="9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lang w:val="en-US"/>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CDA2FB2"/>
    <w:multiLevelType w:val="multilevel"/>
    <w:tmpl w:val="6CDA2FB2"/>
    <w:lvl w:ilvl="0" w:tentative="0">
      <w:start w:val="1"/>
      <w:numFmt w:val="decimal"/>
      <w:pStyle w:val="54"/>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8">
    <w:nsid w:val="70146DC0"/>
    <w:multiLevelType w:val="multilevel"/>
    <w:tmpl w:val="70146DC0"/>
    <w:lvl w:ilvl="0" w:tentative="0">
      <w:start w:val="1"/>
      <w:numFmt w:val="bullet"/>
      <w:pStyle w:val="9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79EE624D"/>
    <w:multiLevelType w:val="singleLevel"/>
    <w:tmpl w:val="79EE624D"/>
    <w:lvl w:ilvl="0" w:tentative="0">
      <w:start w:val="1"/>
      <w:numFmt w:val="decimal"/>
      <w:suff w:val="space"/>
      <w:lvlText w:val="[%1]"/>
      <w:lvlJc w:val="left"/>
    </w:lvl>
  </w:abstractNum>
  <w:num w:numId="1">
    <w:abstractNumId w:val="9"/>
  </w:num>
  <w:num w:numId="2">
    <w:abstractNumId w:val="7"/>
  </w:num>
  <w:num w:numId="3">
    <w:abstractNumId w:val="5"/>
  </w:num>
  <w:num w:numId="4">
    <w:abstractNumId w:val="8"/>
  </w:num>
  <w:num w:numId="5">
    <w:abstractNumId w:val="2"/>
  </w:num>
  <w:num w:numId="6">
    <w:abstractNumId w:val="6"/>
  </w:num>
  <w:num w:numId="7">
    <w:abstractNumId w:val="3"/>
  </w:num>
  <w:num w:numId="8">
    <w:abstractNumId w:val="1"/>
  </w:num>
  <w:num w:numId="9">
    <w:abstractNumId w:val="0"/>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0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2FEB"/>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20E"/>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6B04"/>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344"/>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60"/>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2B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622"/>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6DCA"/>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788"/>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289"/>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ACB"/>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3FB6"/>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7D1"/>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17E"/>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D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015"/>
    <w:rsid w:val="00273377"/>
    <w:rsid w:val="00273A3A"/>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83"/>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4A94"/>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2B1"/>
    <w:rsid w:val="002F36BE"/>
    <w:rsid w:val="002F3C91"/>
    <w:rsid w:val="002F3FDE"/>
    <w:rsid w:val="002F4193"/>
    <w:rsid w:val="002F436A"/>
    <w:rsid w:val="002F5B1E"/>
    <w:rsid w:val="002F5B9F"/>
    <w:rsid w:val="002F620C"/>
    <w:rsid w:val="002F67BA"/>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B7"/>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6992"/>
    <w:rsid w:val="003973E9"/>
    <w:rsid w:val="003977B1"/>
    <w:rsid w:val="00397D15"/>
    <w:rsid w:val="003A09AB"/>
    <w:rsid w:val="003A0B30"/>
    <w:rsid w:val="003A0C62"/>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CCF"/>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2"/>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0CC9"/>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5D1"/>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53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AEC"/>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43D"/>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09F"/>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B7C27"/>
    <w:rsid w:val="005C0859"/>
    <w:rsid w:val="005C0F66"/>
    <w:rsid w:val="005C0FDA"/>
    <w:rsid w:val="005C25A8"/>
    <w:rsid w:val="005C27E6"/>
    <w:rsid w:val="005C2A62"/>
    <w:rsid w:val="005C30E4"/>
    <w:rsid w:val="005C3401"/>
    <w:rsid w:val="005C36FC"/>
    <w:rsid w:val="005C4601"/>
    <w:rsid w:val="005C4AFF"/>
    <w:rsid w:val="005C4B67"/>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A0E"/>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C1"/>
    <w:rsid w:val="005F4A12"/>
    <w:rsid w:val="005F53A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B51"/>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BF5"/>
    <w:rsid w:val="00616756"/>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1E90"/>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1C7"/>
    <w:rsid w:val="006D12A2"/>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B0E"/>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37"/>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640"/>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3C"/>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2E6B"/>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0D0"/>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61"/>
    <w:rsid w:val="007E5D7B"/>
    <w:rsid w:val="007E6C35"/>
    <w:rsid w:val="007E6C8F"/>
    <w:rsid w:val="007E757F"/>
    <w:rsid w:val="007E7A96"/>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995"/>
    <w:rsid w:val="00841F4E"/>
    <w:rsid w:val="008421A5"/>
    <w:rsid w:val="00842901"/>
    <w:rsid w:val="00842A53"/>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44B5"/>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A83"/>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644"/>
    <w:rsid w:val="00883D9D"/>
    <w:rsid w:val="0088421D"/>
    <w:rsid w:val="00884262"/>
    <w:rsid w:val="00884654"/>
    <w:rsid w:val="008848DF"/>
    <w:rsid w:val="00884C77"/>
    <w:rsid w:val="00884CEC"/>
    <w:rsid w:val="00884DF3"/>
    <w:rsid w:val="0088540E"/>
    <w:rsid w:val="008856FE"/>
    <w:rsid w:val="00885897"/>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368"/>
    <w:rsid w:val="008B08AF"/>
    <w:rsid w:val="008B0D69"/>
    <w:rsid w:val="008B0F94"/>
    <w:rsid w:val="008B2329"/>
    <w:rsid w:val="008B2D8C"/>
    <w:rsid w:val="008B371A"/>
    <w:rsid w:val="008B39CF"/>
    <w:rsid w:val="008B3A10"/>
    <w:rsid w:val="008B3C24"/>
    <w:rsid w:val="008B4137"/>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4F23"/>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257"/>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6E66"/>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17B"/>
    <w:rsid w:val="0095036B"/>
    <w:rsid w:val="00950481"/>
    <w:rsid w:val="0095079E"/>
    <w:rsid w:val="00950E94"/>
    <w:rsid w:val="00950F5B"/>
    <w:rsid w:val="009510BC"/>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6BE"/>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31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BBE"/>
    <w:rsid w:val="009F7D22"/>
    <w:rsid w:val="00A000A2"/>
    <w:rsid w:val="00A000A4"/>
    <w:rsid w:val="00A002BF"/>
    <w:rsid w:val="00A00A01"/>
    <w:rsid w:val="00A00B25"/>
    <w:rsid w:val="00A00B45"/>
    <w:rsid w:val="00A00C57"/>
    <w:rsid w:val="00A00DE4"/>
    <w:rsid w:val="00A01084"/>
    <w:rsid w:val="00A017BB"/>
    <w:rsid w:val="00A01A4A"/>
    <w:rsid w:val="00A01AAB"/>
    <w:rsid w:val="00A02449"/>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7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56C8F"/>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2BA4"/>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DB"/>
    <w:rsid w:val="00AB49EF"/>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69F"/>
    <w:rsid w:val="00AE2B80"/>
    <w:rsid w:val="00AE33BC"/>
    <w:rsid w:val="00AE3592"/>
    <w:rsid w:val="00AE39D6"/>
    <w:rsid w:val="00AE3ACD"/>
    <w:rsid w:val="00AE3DC6"/>
    <w:rsid w:val="00AE3F34"/>
    <w:rsid w:val="00AE429B"/>
    <w:rsid w:val="00AE4C94"/>
    <w:rsid w:val="00AE4E2B"/>
    <w:rsid w:val="00AE4FF4"/>
    <w:rsid w:val="00AE513A"/>
    <w:rsid w:val="00AE5144"/>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3D9"/>
    <w:rsid w:val="00B524FC"/>
    <w:rsid w:val="00B526F2"/>
    <w:rsid w:val="00B52A6C"/>
    <w:rsid w:val="00B52D1E"/>
    <w:rsid w:val="00B53011"/>
    <w:rsid w:val="00B5389F"/>
    <w:rsid w:val="00B545C2"/>
    <w:rsid w:val="00B54B43"/>
    <w:rsid w:val="00B55D8F"/>
    <w:rsid w:val="00B56000"/>
    <w:rsid w:val="00B56391"/>
    <w:rsid w:val="00B5656A"/>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14D5"/>
    <w:rsid w:val="00BB20F0"/>
    <w:rsid w:val="00BB2419"/>
    <w:rsid w:val="00BB25E4"/>
    <w:rsid w:val="00BB2B42"/>
    <w:rsid w:val="00BB35AD"/>
    <w:rsid w:val="00BB35D0"/>
    <w:rsid w:val="00BB3777"/>
    <w:rsid w:val="00BB459D"/>
    <w:rsid w:val="00BB46E5"/>
    <w:rsid w:val="00BB488A"/>
    <w:rsid w:val="00BB5220"/>
    <w:rsid w:val="00BB54EE"/>
    <w:rsid w:val="00BB59B6"/>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673"/>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B1A"/>
    <w:rsid w:val="00C435D6"/>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0DF"/>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07E"/>
    <w:rsid w:val="00CF430D"/>
    <w:rsid w:val="00CF47D7"/>
    <w:rsid w:val="00CF54F7"/>
    <w:rsid w:val="00CF552F"/>
    <w:rsid w:val="00CF5F0D"/>
    <w:rsid w:val="00CF5F26"/>
    <w:rsid w:val="00CF61D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93"/>
    <w:rsid w:val="00D36DFE"/>
    <w:rsid w:val="00D37433"/>
    <w:rsid w:val="00D41A65"/>
    <w:rsid w:val="00D41FB2"/>
    <w:rsid w:val="00D42983"/>
    <w:rsid w:val="00D4386A"/>
    <w:rsid w:val="00D43FDA"/>
    <w:rsid w:val="00D44B30"/>
    <w:rsid w:val="00D453BD"/>
    <w:rsid w:val="00D45765"/>
    <w:rsid w:val="00D45791"/>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184"/>
    <w:rsid w:val="00D622C9"/>
    <w:rsid w:val="00D624AD"/>
    <w:rsid w:val="00D62D5B"/>
    <w:rsid w:val="00D6326B"/>
    <w:rsid w:val="00D63369"/>
    <w:rsid w:val="00D6399A"/>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3EE"/>
    <w:rsid w:val="00E0044B"/>
    <w:rsid w:val="00E0052E"/>
    <w:rsid w:val="00E0066A"/>
    <w:rsid w:val="00E00B00"/>
    <w:rsid w:val="00E012E1"/>
    <w:rsid w:val="00E0169A"/>
    <w:rsid w:val="00E02118"/>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12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4C8"/>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6BA"/>
    <w:rsid w:val="00E916BB"/>
    <w:rsid w:val="00E91AE2"/>
    <w:rsid w:val="00E920F2"/>
    <w:rsid w:val="00E92193"/>
    <w:rsid w:val="00E924A0"/>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593"/>
    <w:rsid w:val="00E9767C"/>
    <w:rsid w:val="00E97AD5"/>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23D1"/>
    <w:rsid w:val="00EE3599"/>
    <w:rsid w:val="00EE3653"/>
    <w:rsid w:val="00EE3C93"/>
    <w:rsid w:val="00EE3DF0"/>
    <w:rsid w:val="00EE4039"/>
    <w:rsid w:val="00EE41CA"/>
    <w:rsid w:val="00EE49BD"/>
    <w:rsid w:val="00EE4AAC"/>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67A"/>
    <w:rsid w:val="00F038F0"/>
    <w:rsid w:val="00F042AF"/>
    <w:rsid w:val="00F04641"/>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6E"/>
    <w:rsid w:val="00F14B7C"/>
    <w:rsid w:val="00F14CA1"/>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9D"/>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E1"/>
    <w:rsid w:val="00F5129E"/>
    <w:rsid w:val="00F51B63"/>
    <w:rsid w:val="00F531AA"/>
    <w:rsid w:val="00F533A1"/>
    <w:rsid w:val="00F53BA7"/>
    <w:rsid w:val="00F549B4"/>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2A9"/>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0E041F"/>
    <w:rsid w:val="01437C9C"/>
    <w:rsid w:val="0157185C"/>
    <w:rsid w:val="02BB15E8"/>
    <w:rsid w:val="02CD6222"/>
    <w:rsid w:val="032875BA"/>
    <w:rsid w:val="04027B7C"/>
    <w:rsid w:val="04270E0A"/>
    <w:rsid w:val="04F14AC0"/>
    <w:rsid w:val="05E842A2"/>
    <w:rsid w:val="061C4A75"/>
    <w:rsid w:val="06830D33"/>
    <w:rsid w:val="07B91BA9"/>
    <w:rsid w:val="09301679"/>
    <w:rsid w:val="098E414D"/>
    <w:rsid w:val="0A002B8F"/>
    <w:rsid w:val="0A2F10B0"/>
    <w:rsid w:val="0A314183"/>
    <w:rsid w:val="0A512B65"/>
    <w:rsid w:val="0B3C6892"/>
    <w:rsid w:val="0B4D1804"/>
    <w:rsid w:val="0B4E364B"/>
    <w:rsid w:val="0BC169A8"/>
    <w:rsid w:val="0BFD3FEE"/>
    <w:rsid w:val="0BFE43A0"/>
    <w:rsid w:val="0C34713B"/>
    <w:rsid w:val="0D11391B"/>
    <w:rsid w:val="0D6D742F"/>
    <w:rsid w:val="0DB01D4D"/>
    <w:rsid w:val="0E1E058B"/>
    <w:rsid w:val="0E6C3CB3"/>
    <w:rsid w:val="0E723D6F"/>
    <w:rsid w:val="0EA0635C"/>
    <w:rsid w:val="0EB73522"/>
    <w:rsid w:val="0EC601AB"/>
    <w:rsid w:val="0F2A17EF"/>
    <w:rsid w:val="10FD15E1"/>
    <w:rsid w:val="11410433"/>
    <w:rsid w:val="11502A3C"/>
    <w:rsid w:val="116206E1"/>
    <w:rsid w:val="11E74B6B"/>
    <w:rsid w:val="135D091C"/>
    <w:rsid w:val="1381490C"/>
    <w:rsid w:val="144E60BA"/>
    <w:rsid w:val="14704788"/>
    <w:rsid w:val="14B343FF"/>
    <w:rsid w:val="155A08C9"/>
    <w:rsid w:val="16F963FC"/>
    <w:rsid w:val="17F40229"/>
    <w:rsid w:val="17F76EF9"/>
    <w:rsid w:val="18572D14"/>
    <w:rsid w:val="19166C11"/>
    <w:rsid w:val="19684D1A"/>
    <w:rsid w:val="199268D2"/>
    <w:rsid w:val="19AE4C3C"/>
    <w:rsid w:val="19E84EE7"/>
    <w:rsid w:val="1A337C08"/>
    <w:rsid w:val="1A693185"/>
    <w:rsid w:val="1AE9076D"/>
    <w:rsid w:val="1B08792E"/>
    <w:rsid w:val="1C045BB5"/>
    <w:rsid w:val="1CE6214B"/>
    <w:rsid w:val="1D482986"/>
    <w:rsid w:val="1D530466"/>
    <w:rsid w:val="1E727913"/>
    <w:rsid w:val="1EBC4909"/>
    <w:rsid w:val="203F5164"/>
    <w:rsid w:val="20741BCD"/>
    <w:rsid w:val="21E6327B"/>
    <w:rsid w:val="220A3DCE"/>
    <w:rsid w:val="226278E6"/>
    <w:rsid w:val="228679ED"/>
    <w:rsid w:val="2297614E"/>
    <w:rsid w:val="22CD4739"/>
    <w:rsid w:val="22DF4B25"/>
    <w:rsid w:val="23A0131E"/>
    <w:rsid w:val="23F24A71"/>
    <w:rsid w:val="2453420A"/>
    <w:rsid w:val="2514714B"/>
    <w:rsid w:val="25B0630F"/>
    <w:rsid w:val="260E7FC9"/>
    <w:rsid w:val="264F651F"/>
    <w:rsid w:val="26AB5CAA"/>
    <w:rsid w:val="270343AF"/>
    <w:rsid w:val="275238E8"/>
    <w:rsid w:val="27885E9A"/>
    <w:rsid w:val="27A9199E"/>
    <w:rsid w:val="27C37418"/>
    <w:rsid w:val="27E70AD2"/>
    <w:rsid w:val="282B4205"/>
    <w:rsid w:val="28340C68"/>
    <w:rsid w:val="28E63708"/>
    <w:rsid w:val="2903193C"/>
    <w:rsid w:val="293A0182"/>
    <w:rsid w:val="29F06898"/>
    <w:rsid w:val="29F41202"/>
    <w:rsid w:val="2A1C7136"/>
    <w:rsid w:val="2A52567F"/>
    <w:rsid w:val="2AD63ADB"/>
    <w:rsid w:val="2B2D51E0"/>
    <w:rsid w:val="2CCE420F"/>
    <w:rsid w:val="2D3C0CBF"/>
    <w:rsid w:val="2D480610"/>
    <w:rsid w:val="2E177608"/>
    <w:rsid w:val="2E285745"/>
    <w:rsid w:val="2E5D0DE0"/>
    <w:rsid w:val="2E954754"/>
    <w:rsid w:val="2EBB7CD6"/>
    <w:rsid w:val="2ECD6A4D"/>
    <w:rsid w:val="2F1F43E1"/>
    <w:rsid w:val="2F28060A"/>
    <w:rsid w:val="2FF748E5"/>
    <w:rsid w:val="302A3B16"/>
    <w:rsid w:val="30B631AE"/>
    <w:rsid w:val="311C418B"/>
    <w:rsid w:val="312A6EA1"/>
    <w:rsid w:val="314F1B30"/>
    <w:rsid w:val="33106379"/>
    <w:rsid w:val="33417212"/>
    <w:rsid w:val="339A6C60"/>
    <w:rsid w:val="33A629ED"/>
    <w:rsid w:val="33C33478"/>
    <w:rsid w:val="33CE3940"/>
    <w:rsid w:val="33E2308C"/>
    <w:rsid w:val="33FF585B"/>
    <w:rsid w:val="34C969B6"/>
    <w:rsid w:val="35CB3800"/>
    <w:rsid w:val="36081486"/>
    <w:rsid w:val="3620464F"/>
    <w:rsid w:val="36267311"/>
    <w:rsid w:val="36ED2DC2"/>
    <w:rsid w:val="38616D76"/>
    <w:rsid w:val="3B1D4D3A"/>
    <w:rsid w:val="3B1E11F2"/>
    <w:rsid w:val="3B2E7C35"/>
    <w:rsid w:val="3B3261DC"/>
    <w:rsid w:val="3BCD3BF3"/>
    <w:rsid w:val="3BE87C7E"/>
    <w:rsid w:val="3C1B0BDA"/>
    <w:rsid w:val="3C1C2A58"/>
    <w:rsid w:val="3C3F629C"/>
    <w:rsid w:val="3CC57762"/>
    <w:rsid w:val="3D2E150D"/>
    <w:rsid w:val="3D774C98"/>
    <w:rsid w:val="3DA924E0"/>
    <w:rsid w:val="3DD26E51"/>
    <w:rsid w:val="3DFE15C4"/>
    <w:rsid w:val="3FFA159D"/>
    <w:rsid w:val="4028093E"/>
    <w:rsid w:val="40A203D0"/>
    <w:rsid w:val="41021CB6"/>
    <w:rsid w:val="42714C57"/>
    <w:rsid w:val="428C04CB"/>
    <w:rsid w:val="438A330C"/>
    <w:rsid w:val="43D2693C"/>
    <w:rsid w:val="43D74856"/>
    <w:rsid w:val="443A7490"/>
    <w:rsid w:val="44694FB6"/>
    <w:rsid w:val="44D416C8"/>
    <w:rsid w:val="44F042A4"/>
    <w:rsid w:val="45004955"/>
    <w:rsid w:val="45104F09"/>
    <w:rsid w:val="4568626D"/>
    <w:rsid w:val="45D44A70"/>
    <w:rsid w:val="468D0F58"/>
    <w:rsid w:val="471B29A4"/>
    <w:rsid w:val="47382E8E"/>
    <w:rsid w:val="47BD2EBF"/>
    <w:rsid w:val="480073D8"/>
    <w:rsid w:val="483C7010"/>
    <w:rsid w:val="48827744"/>
    <w:rsid w:val="489F04CD"/>
    <w:rsid w:val="48DD3AEA"/>
    <w:rsid w:val="48FF5BC4"/>
    <w:rsid w:val="4909275C"/>
    <w:rsid w:val="496B0DFD"/>
    <w:rsid w:val="49916B70"/>
    <w:rsid w:val="499C7F1A"/>
    <w:rsid w:val="49BD7F19"/>
    <w:rsid w:val="4A4107F5"/>
    <w:rsid w:val="4AAD5187"/>
    <w:rsid w:val="4AB334E0"/>
    <w:rsid w:val="4AC54120"/>
    <w:rsid w:val="4AE14CE5"/>
    <w:rsid w:val="4B820C21"/>
    <w:rsid w:val="4C0D30A7"/>
    <w:rsid w:val="4C740FBB"/>
    <w:rsid w:val="4CB32D3F"/>
    <w:rsid w:val="4D2C3744"/>
    <w:rsid w:val="4D9828FA"/>
    <w:rsid w:val="4DF73079"/>
    <w:rsid w:val="4E222F58"/>
    <w:rsid w:val="4E63642D"/>
    <w:rsid w:val="4E734BC1"/>
    <w:rsid w:val="4EEE3525"/>
    <w:rsid w:val="4F4A5D3D"/>
    <w:rsid w:val="4FA71C42"/>
    <w:rsid w:val="4FBE626D"/>
    <w:rsid w:val="50047D3F"/>
    <w:rsid w:val="50803E7A"/>
    <w:rsid w:val="50D16751"/>
    <w:rsid w:val="50FC4159"/>
    <w:rsid w:val="52387E00"/>
    <w:rsid w:val="52657DC0"/>
    <w:rsid w:val="52A02608"/>
    <w:rsid w:val="53046661"/>
    <w:rsid w:val="53F344DD"/>
    <w:rsid w:val="53F34D30"/>
    <w:rsid w:val="54141C5F"/>
    <w:rsid w:val="5415308F"/>
    <w:rsid w:val="559303C8"/>
    <w:rsid w:val="56902820"/>
    <w:rsid w:val="56D73D29"/>
    <w:rsid w:val="56D805CB"/>
    <w:rsid w:val="57252D4C"/>
    <w:rsid w:val="585C7AD6"/>
    <w:rsid w:val="587E7112"/>
    <w:rsid w:val="58B90AAC"/>
    <w:rsid w:val="58D33E46"/>
    <w:rsid w:val="59804317"/>
    <w:rsid w:val="5A3916BC"/>
    <w:rsid w:val="5A5554D1"/>
    <w:rsid w:val="5ACB668C"/>
    <w:rsid w:val="5AD564E3"/>
    <w:rsid w:val="5B4F5A23"/>
    <w:rsid w:val="5B9A48FE"/>
    <w:rsid w:val="5BE54260"/>
    <w:rsid w:val="5C03165A"/>
    <w:rsid w:val="5D0B6B17"/>
    <w:rsid w:val="5DE26877"/>
    <w:rsid w:val="5E0314D0"/>
    <w:rsid w:val="5EA54D66"/>
    <w:rsid w:val="5FAE3C1E"/>
    <w:rsid w:val="60176AA1"/>
    <w:rsid w:val="601C52A9"/>
    <w:rsid w:val="603B3B74"/>
    <w:rsid w:val="605B2BAE"/>
    <w:rsid w:val="60BC6411"/>
    <w:rsid w:val="61AF27D1"/>
    <w:rsid w:val="61FE73B1"/>
    <w:rsid w:val="621D6C97"/>
    <w:rsid w:val="628E517D"/>
    <w:rsid w:val="629C6F02"/>
    <w:rsid w:val="636D6759"/>
    <w:rsid w:val="63756E20"/>
    <w:rsid w:val="646D5888"/>
    <w:rsid w:val="649B770A"/>
    <w:rsid w:val="65B3429B"/>
    <w:rsid w:val="666B0042"/>
    <w:rsid w:val="6695767F"/>
    <w:rsid w:val="669876C5"/>
    <w:rsid w:val="669A6BCA"/>
    <w:rsid w:val="66A97CCD"/>
    <w:rsid w:val="66B83359"/>
    <w:rsid w:val="66F52B79"/>
    <w:rsid w:val="674701DD"/>
    <w:rsid w:val="674E1284"/>
    <w:rsid w:val="67791B52"/>
    <w:rsid w:val="678F7D1C"/>
    <w:rsid w:val="67B02672"/>
    <w:rsid w:val="67F34F90"/>
    <w:rsid w:val="67FA6925"/>
    <w:rsid w:val="68F9738C"/>
    <w:rsid w:val="690A41ED"/>
    <w:rsid w:val="6950210B"/>
    <w:rsid w:val="69B84930"/>
    <w:rsid w:val="6AA1751A"/>
    <w:rsid w:val="6B3773F6"/>
    <w:rsid w:val="6CD75013"/>
    <w:rsid w:val="6D72001A"/>
    <w:rsid w:val="6D790A61"/>
    <w:rsid w:val="6E7D749A"/>
    <w:rsid w:val="6EC018FE"/>
    <w:rsid w:val="6F150A16"/>
    <w:rsid w:val="6FAC37F7"/>
    <w:rsid w:val="6FD518E1"/>
    <w:rsid w:val="709A16D4"/>
    <w:rsid w:val="70B558FD"/>
    <w:rsid w:val="7191735E"/>
    <w:rsid w:val="722B0C34"/>
    <w:rsid w:val="738E763D"/>
    <w:rsid w:val="74521C25"/>
    <w:rsid w:val="74BC07DB"/>
    <w:rsid w:val="7530247A"/>
    <w:rsid w:val="759978CC"/>
    <w:rsid w:val="762E3794"/>
    <w:rsid w:val="76320D9A"/>
    <w:rsid w:val="76871284"/>
    <w:rsid w:val="769367A2"/>
    <w:rsid w:val="77DC6BAC"/>
    <w:rsid w:val="77EA2826"/>
    <w:rsid w:val="77EB1A53"/>
    <w:rsid w:val="78833509"/>
    <w:rsid w:val="78DE7EBE"/>
    <w:rsid w:val="79497FA2"/>
    <w:rsid w:val="799A470F"/>
    <w:rsid w:val="7A496371"/>
    <w:rsid w:val="7A8B7C93"/>
    <w:rsid w:val="7B0E64C9"/>
    <w:rsid w:val="7B3426D8"/>
    <w:rsid w:val="7C1A4147"/>
    <w:rsid w:val="7CAD6BC4"/>
    <w:rsid w:val="7CE51231"/>
    <w:rsid w:val="7CED0E52"/>
    <w:rsid w:val="7CF466CF"/>
    <w:rsid w:val="7D017AA5"/>
    <w:rsid w:val="7DFB663E"/>
    <w:rsid w:val="7F2D7455"/>
    <w:rsid w:val="7F5877E7"/>
    <w:rsid w:val="7F9B5670"/>
    <w:rsid w:val="7FAC53B6"/>
    <w:rsid w:val="7FC9249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6"/>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7"/>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8"/>
    <w:qFormat/>
    <w:uiPriority w:val="0"/>
    <w:pPr>
      <w:tabs>
        <w:tab w:val="left" w:pos="720"/>
        <w:tab w:val="clear" w:pos="576"/>
      </w:tabs>
      <w:spacing w:before="120"/>
      <w:ind w:left="720" w:hanging="720"/>
      <w:outlineLvl w:val="2"/>
    </w:pPr>
    <w:rPr>
      <w:sz w:val="28"/>
    </w:rPr>
  </w:style>
  <w:style w:type="paragraph" w:styleId="5">
    <w:name w:val="heading 4"/>
    <w:basedOn w:val="1"/>
    <w:next w:val="1"/>
    <w:link w:val="39"/>
    <w:qFormat/>
    <w:uiPriority w:val="0"/>
    <w:pPr>
      <w:tabs>
        <w:tab w:val="left" w:pos="432"/>
        <w:tab w:val="left" w:pos="864"/>
      </w:tabs>
      <w:ind w:left="864" w:hanging="864"/>
      <w:outlineLvl w:val="3"/>
    </w:pPr>
    <w:rPr>
      <w:sz w:val="20"/>
    </w:rPr>
  </w:style>
  <w:style w:type="paragraph" w:styleId="6">
    <w:name w:val="heading 5"/>
    <w:basedOn w:val="5"/>
    <w:next w:val="1"/>
    <w:link w:val="40"/>
    <w:qFormat/>
    <w:uiPriority w:val="0"/>
    <w:pPr>
      <w:tabs>
        <w:tab w:val="left" w:pos="1152"/>
        <w:tab w:val="clear" w:pos="864"/>
      </w:tabs>
      <w:ind w:left="1152" w:hanging="1152"/>
      <w:outlineLvl w:val="4"/>
    </w:pPr>
    <w:rPr>
      <w:sz w:val="22"/>
    </w:rPr>
  </w:style>
  <w:style w:type="paragraph" w:styleId="7">
    <w:name w:val="heading 7"/>
    <w:basedOn w:val="1"/>
    <w:next w:val="1"/>
    <w:link w:val="41"/>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2"/>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3"/>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basedOn w:val="1"/>
    <w:next w:val="1"/>
    <w:link w:val="46"/>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7"/>
    <w:semiHidden/>
    <w:unhideWhenUsed/>
    <w:qFormat/>
    <w:uiPriority w:val="99"/>
    <w:rPr>
      <w:rFonts w:ascii="Cambria Math" w:hAnsi="Cambria Math" w:eastAsia="Cambria Math"/>
      <w:sz w:val="20"/>
      <w:szCs w:val="20"/>
    </w:rPr>
  </w:style>
  <w:style w:type="paragraph" w:styleId="12">
    <w:name w:val="annotation text"/>
    <w:basedOn w:val="1"/>
    <w:link w:val="49"/>
    <w:unhideWhenUsed/>
    <w:qFormat/>
    <w:uiPriority w:val="99"/>
  </w:style>
  <w:style w:type="paragraph" w:styleId="13">
    <w:name w:val="List 2"/>
    <w:basedOn w:val="1"/>
    <w:semiHidden/>
    <w:unhideWhenUsed/>
    <w:qFormat/>
    <w:uiPriority w:val="99"/>
    <w:pPr>
      <w:ind w:left="100" w:leftChars="200" w:hanging="200" w:hangingChars="200"/>
      <w:contextualSpacing/>
    </w:pPr>
  </w:style>
  <w:style w:type="paragraph" w:styleId="14">
    <w:name w:val="Balloon Text"/>
    <w:basedOn w:val="1"/>
    <w:link w:val="47"/>
    <w:semiHidden/>
    <w:unhideWhenUsed/>
    <w:qFormat/>
    <w:uiPriority w:val="99"/>
    <w:rPr>
      <w:rFonts w:ascii="Cambria Math" w:hAnsi="Cambria Math" w:eastAsia="Cambria Math"/>
      <w:sz w:val="18"/>
      <w:szCs w:val="18"/>
    </w:rPr>
  </w:style>
  <w:style w:type="paragraph" w:styleId="15">
    <w:name w:val="footer"/>
    <w:basedOn w:val="1"/>
    <w:link w:val="48"/>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5"/>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0"/>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qFormat/>
    <w:uiPriority w:val="0"/>
    <w:rPr>
      <w:rFonts w:cs="Times New Roman"/>
      <w:color w:val="0000FF"/>
      <w:u w:val="single"/>
    </w:rPr>
  </w:style>
  <w:style w:type="character" w:styleId="24">
    <w:name w:val="annotation reference"/>
    <w:semiHidden/>
    <w:unhideWhenUsed/>
    <w:qFormat/>
    <w:uiPriority w:val="0"/>
    <w:rPr>
      <w:sz w:val="21"/>
      <w:szCs w:val="21"/>
    </w:rPr>
  </w:style>
  <w:style w:type="character" w:customStyle="1" w:styleId="25">
    <w:name w:val="页眉 字符"/>
    <w:link w:val="16"/>
    <w:qFormat/>
    <w:uiPriority w:val="99"/>
    <w:rPr>
      <w:rFonts w:ascii="Times New Roman" w:hAnsi="Times New Roman" w:eastAsia="Courier New" w:cs="Times New Roman"/>
      <w:kern w:val="0"/>
      <w:sz w:val="20"/>
      <w:szCs w:val="20"/>
      <w:lang w:eastAsia="en-US"/>
    </w:rPr>
  </w:style>
  <w:style w:type="character" w:customStyle="1" w:styleId="26">
    <w:name w:val="标题 1 字符"/>
    <w:link w:val="2"/>
    <w:qFormat/>
    <w:uiPriority w:val="0"/>
    <w:rPr>
      <w:rFonts w:ascii="Arial" w:hAnsi="Arial"/>
      <w:b/>
      <w:bCs/>
      <w:kern w:val="44"/>
      <w:sz w:val="44"/>
      <w:szCs w:val="44"/>
    </w:rPr>
  </w:style>
  <w:style w:type="character" w:customStyle="1" w:styleId="27">
    <w:name w:val="文档结构图 字符"/>
    <w:link w:val="11"/>
    <w:semiHidden/>
    <w:qFormat/>
    <w:uiPriority w:val="99"/>
    <w:rPr>
      <w:rFonts w:ascii="Cambria Math" w:eastAsia="Cambria Math"/>
    </w:rPr>
  </w:style>
  <w:style w:type="paragraph" w:customStyle="1" w:styleId="28">
    <w:name w:val="TAC"/>
    <w:basedOn w:val="29"/>
    <w:link w:val="30"/>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29">
    <w:name w:val="TAL"/>
    <w:basedOn w:val="1"/>
    <w:link w:val="58"/>
    <w:qFormat/>
    <w:uiPriority w:val="0"/>
    <w:pPr>
      <w:keepNext/>
      <w:keepLines/>
    </w:pPr>
    <w:rPr>
      <w:rFonts w:ascii="Courier New" w:hAnsi="Courier New"/>
      <w:sz w:val="18"/>
      <w:szCs w:val="20"/>
      <w:lang w:val="en-GB" w:eastAsia="en-US"/>
    </w:rPr>
  </w:style>
  <w:style w:type="character" w:customStyle="1" w:styleId="30">
    <w:name w:val="TAC Char"/>
    <w:link w:val="28"/>
    <w:qFormat/>
    <w:uiPriority w:val="0"/>
    <w:rPr>
      <w:rFonts w:ascii="Courier New" w:hAnsi="Courier New" w:eastAsia="Yu Mincho Light" w:cs="Times New Roman"/>
      <w:kern w:val="0"/>
      <w:sz w:val="18"/>
      <w:szCs w:val="18"/>
      <w:lang w:val="en-GB"/>
    </w:rPr>
  </w:style>
  <w:style w:type="paragraph" w:customStyle="1" w:styleId="31">
    <w:name w:val="TH"/>
    <w:basedOn w:val="1"/>
    <w:link w:val="32"/>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2">
    <w:name w:val="TH Char"/>
    <w:link w:val="31"/>
    <w:qFormat/>
    <w:uiPriority w:val="0"/>
    <w:rPr>
      <w:rFonts w:ascii="Courier New" w:hAnsi="Courier New" w:eastAsia="Yu Mincho Light" w:cs="Times New Roman"/>
      <w:b/>
      <w:bCs/>
      <w:kern w:val="0"/>
      <w:sz w:val="20"/>
      <w:szCs w:val="20"/>
      <w:lang w:val="en-GB"/>
    </w:rPr>
  </w:style>
  <w:style w:type="paragraph" w:customStyle="1" w:styleId="33">
    <w:name w:val="TAH"/>
    <w:basedOn w:val="28"/>
    <w:link w:val="34"/>
    <w:qFormat/>
    <w:uiPriority w:val="0"/>
    <w:rPr>
      <w:b/>
      <w:bCs/>
    </w:rPr>
  </w:style>
  <w:style w:type="character" w:customStyle="1" w:styleId="34">
    <w:name w:val="TAH Car"/>
    <w:link w:val="33"/>
    <w:qFormat/>
    <w:uiPriority w:val="0"/>
    <w:rPr>
      <w:rFonts w:ascii="Courier New" w:hAnsi="Courier New" w:eastAsia="Yu Mincho Light" w:cs="Times New Roman"/>
      <w:b/>
      <w:bCs/>
      <w:kern w:val="0"/>
      <w:sz w:val="18"/>
      <w:szCs w:val="18"/>
      <w:lang w:val="en-GB"/>
    </w:rPr>
  </w:style>
  <w:style w:type="paragraph" w:customStyle="1" w:styleId="35">
    <w:name w:val="TAN"/>
    <w:basedOn w:val="1"/>
    <w:link w:val="36"/>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6">
    <w:name w:val="TAN Char"/>
    <w:link w:val="35"/>
    <w:qFormat/>
    <w:uiPriority w:val="0"/>
    <w:rPr>
      <w:rFonts w:ascii="Courier New" w:hAnsi="Courier New" w:eastAsia="Yu Mincho Light" w:cs="Times New Roman"/>
      <w:kern w:val="0"/>
      <w:sz w:val="18"/>
      <w:szCs w:val="18"/>
      <w:lang w:val="en-GB"/>
    </w:rPr>
  </w:style>
  <w:style w:type="character" w:customStyle="1" w:styleId="37">
    <w:name w:val="标题 2 字符"/>
    <w:link w:val="3"/>
    <w:qFormat/>
    <w:uiPriority w:val="0"/>
    <w:rPr>
      <w:rFonts w:ascii="Courier New" w:hAnsi="Courier New" w:eastAsia="Courier New" w:cs="Times New Roman"/>
      <w:kern w:val="0"/>
      <w:sz w:val="32"/>
      <w:szCs w:val="20"/>
      <w:lang w:val="en-GB" w:eastAsia="en-US"/>
    </w:rPr>
  </w:style>
  <w:style w:type="character" w:customStyle="1" w:styleId="38">
    <w:name w:val="标题 3 字符"/>
    <w:link w:val="4"/>
    <w:qFormat/>
    <w:uiPriority w:val="0"/>
    <w:rPr>
      <w:rFonts w:ascii="Courier New" w:hAnsi="Courier New" w:eastAsia="Courier New" w:cs="Times New Roman"/>
      <w:kern w:val="0"/>
      <w:sz w:val="28"/>
      <w:szCs w:val="20"/>
      <w:lang w:val="en-GB" w:eastAsia="en-US"/>
    </w:rPr>
  </w:style>
  <w:style w:type="character" w:customStyle="1" w:styleId="39">
    <w:name w:val="标题 4 字符"/>
    <w:link w:val="5"/>
    <w:qFormat/>
    <w:uiPriority w:val="0"/>
    <w:rPr>
      <w:rFonts w:ascii="Courier New" w:hAnsi="Courier New" w:eastAsia="Courier New" w:cs="Times New Roman"/>
      <w:kern w:val="0"/>
      <w:szCs w:val="20"/>
      <w:lang w:val="en-GB" w:eastAsia="en-US"/>
    </w:rPr>
  </w:style>
  <w:style w:type="character" w:customStyle="1" w:styleId="40">
    <w:name w:val="标题 5 字符"/>
    <w:link w:val="6"/>
    <w:qFormat/>
    <w:uiPriority w:val="0"/>
    <w:rPr>
      <w:rFonts w:ascii="Courier New" w:hAnsi="Courier New" w:eastAsia="Courier New" w:cs="Times New Roman"/>
      <w:kern w:val="0"/>
      <w:sz w:val="22"/>
      <w:szCs w:val="20"/>
      <w:lang w:val="en-GB" w:eastAsia="en-US"/>
    </w:rPr>
  </w:style>
  <w:style w:type="character" w:customStyle="1" w:styleId="41">
    <w:name w:val="标题 7 字符"/>
    <w:link w:val="7"/>
    <w:qFormat/>
    <w:uiPriority w:val="0"/>
    <w:rPr>
      <w:rFonts w:ascii="Courier New" w:hAnsi="Courier New" w:eastAsia="Courier New" w:cs="Times New Roman"/>
      <w:kern w:val="0"/>
      <w:sz w:val="20"/>
      <w:szCs w:val="20"/>
      <w:lang w:val="en-GB" w:eastAsia="en-US"/>
    </w:rPr>
  </w:style>
  <w:style w:type="character" w:customStyle="1" w:styleId="42">
    <w:name w:val="标题 8 字符"/>
    <w:link w:val="8"/>
    <w:qFormat/>
    <w:uiPriority w:val="0"/>
    <w:rPr>
      <w:rFonts w:ascii="Courier New" w:hAnsi="Courier New" w:eastAsia="Courier New" w:cs="Times New Roman"/>
      <w:kern w:val="0"/>
      <w:sz w:val="36"/>
      <w:szCs w:val="20"/>
      <w:lang w:val="en-GB" w:eastAsia="en-US"/>
    </w:rPr>
  </w:style>
  <w:style w:type="character" w:customStyle="1" w:styleId="43">
    <w:name w:val="标题 9 字符"/>
    <w:link w:val="9"/>
    <w:qFormat/>
    <w:uiPriority w:val="0"/>
    <w:rPr>
      <w:rFonts w:ascii="Courier New" w:hAnsi="Courier New" w:eastAsia="Courier New" w:cs="Times New Roman"/>
      <w:kern w:val="0"/>
      <w:sz w:val="36"/>
      <w:szCs w:val="20"/>
      <w:lang w:val="en-GB" w:eastAsia="en-US"/>
    </w:rPr>
  </w:style>
  <w:style w:type="paragraph" w:customStyle="1" w:styleId="44">
    <w:name w:val="彩色列表 - 强调文字颜色 11"/>
    <w:basedOn w:val="1"/>
    <w:qFormat/>
    <w:uiPriority w:val="34"/>
    <w:pPr>
      <w:ind w:firstLine="420" w:firstLineChars="200"/>
    </w:pPr>
    <w:rPr>
      <w:rFonts w:ascii="Yu Mincho Light" w:hAnsi="Yu Mincho Light"/>
      <w:sz w:val="20"/>
      <w:szCs w:val="20"/>
    </w:rPr>
  </w:style>
  <w:style w:type="paragraph" w:customStyle="1" w:styleId="45">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6">
    <w:name w:val="题注 字符"/>
    <w:link w:val="10"/>
    <w:qFormat/>
    <w:uiPriority w:val="0"/>
    <w:rPr>
      <w:rFonts w:ascii="Courier New" w:hAnsi="Courier New"/>
      <w:b/>
      <w:kern w:val="20"/>
      <w:sz w:val="16"/>
      <w:lang w:eastAsia="en-US" w:bidi="ar-SA"/>
    </w:rPr>
  </w:style>
  <w:style w:type="character" w:customStyle="1" w:styleId="47">
    <w:name w:val="批注框文本 字符"/>
    <w:link w:val="14"/>
    <w:semiHidden/>
    <w:qFormat/>
    <w:uiPriority w:val="99"/>
    <w:rPr>
      <w:rFonts w:ascii="Cambria Math" w:eastAsia="Cambria Math"/>
      <w:sz w:val="18"/>
      <w:szCs w:val="18"/>
    </w:rPr>
  </w:style>
  <w:style w:type="character" w:customStyle="1" w:styleId="48">
    <w:name w:val="页脚 字符"/>
    <w:link w:val="15"/>
    <w:qFormat/>
    <w:uiPriority w:val="99"/>
    <w:rPr>
      <w:sz w:val="18"/>
      <w:szCs w:val="18"/>
    </w:rPr>
  </w:style>
  <w:style w:type="character" w:customStyle="1" w:styleId="49">
    <w:name w:val="批注文字 字符"/>
    <w:basedOn w:val="22"/>
    <w:link w:val="12"/>
    <w:qFormat/>
    <w:uiPriority w:val="99"/>
  </w:style>
  <w:style w:type="character" w:customStyle="1" w:styleId="50">
    <w:name w:val="批注主题 字符"/>
    <w:link w:val="19"/>
    <w:semiHidden/>
    <w:qFormat/>
    <w:uiPriority w:val="99"/>
    <w:rPr>
      <w:b/>
      <w:bCs/>
    </w:rPr>
  </w:style>
  <w:style w:type="paragraph" w:customStyle="1" w:styleId="51">
    <w:name w:val="B1"/>
    <w:basedOn w:val="17"/>
    <w:link w:val="52"/>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2">
    <w:name w:val="B1 Char1"/>
    <w:link w:val="51"/>
    <w:qFormat/>
    <w:uiPriority w:val="0"/>
    <w:rPr>
      <w:rFonts w:ascii="Times New Roman" w:hAnsi="Times New Roman" w:eastAsia="Times New Roman" w:cs="Times New Roman"/>
      <w:kern w:val="0"/>
      <w:sz w:val="20"/>
      <w:szCs w:val="20"/>
      <w:lang w:val="en-GB" w:eastAsia="en-US"/>
    </w:rPr>
  </w:style>
  <w:style w:type="character" w:customStyle="1" w:styleId="53">
    <w:name w:val="B1 Char"/>
    <w:qFormat/>
    <w:locked/>
    <w:uiPriority w:val="0"/>
    <w:rPr>
      <w:lang w:val="en-GB"/>
    </w:rPr>
  </w:style>
  <w:style w:type="paragraph" w:customStyle="1" w:styleId="54">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5">
    <w:name w:val="首标题"/>
    <w:qFormat/>
    <w:uiPriority w:val="0"/>
    <w:rPr>
      <w:rFonts w:ascii="Courier New" w:hAnsi="Courier New" w:eastAsia="Yu Mincho Light"/>
      <w:sz w:val="24"/>
      <w:lang w:val="en-US" w:eastAsia="zh-CN" w:bidi="ar-SA"/>
    </w:rPr>
  </w:style>
  <w:style w:type="paragraph" w:customStyle="1" w:styleId="56">
    <w:name w:val="插图题注"/>
    <w:basedOn w:val="1"/>
    <w:qFormat/>
    <w:uiPriority w:val="0"/>
    <w:pPr>
      <w:spacing w:after="180"/>
    </w:pPr>
    <w:rPr>
      <w:sz w:val="20"/>
      <w:szCs w:val="20"/>
      <w:lang w:val="en-GB" w:eastAsia="en-US"/>
    </w:rPr>
  </w:style>
  <w:style w:type="paragraph" w:customStyle="1" w:styleId="57">
    <w:name w:val="表格题注"/>
    <w:basedOn w:val="1"/>
    <w:qFormat/>
    <w:uiPriority w:val="0"/>
    <w:pPr>
      <w:spacing w:after="180"/>
    </w:pPr>
    <w:rPr>
      <w:sz w:val="20"/>
      <w:szCs w:val="20"/>
      <w:lang w:val="en-GB" w:eastAsia="en-US"/>
    </w:rPr>
  </w:style>
  <w:style w:type="character" w:customStyle="1" w:styleId="58">
    <w:name w:val="TAL Car"/>
    <w:link w:val="29"/>
    <w:qFormat/>
    <w:uiPriority w:val="0"/>
    <w:rPr>
      <w:rFonts w:ascii="Courier New" w:hAnsi="Courier New"/>
      <w:sz w:val="18"/>
      <w:lang w:val="en-GB" w:eastAsia="en-US"/>
    </w:rPr>
  </w:style>
  <w:style w:type="paragraph" w:customStyle="1" w:styleId="59">
    <w:name w:val="中等深浅网格 1 - 着色 21"/>
    <w:basedOn w:val="1"/>
    <w:link w:val="60"/>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0">
    <w:name w:val="中等深浅网格 1 - 着色 2 字符"/>
    <w:link w:val="59"/>
    <w:qFormat/>
    <w:locked/>
    <w:uiPriority w:val="34"/>
    <w:rPr>
      <w:rFonts w:ascii="Times New Roman" w:hAnsi="Times New Roman" w:eastAsia="Yu Mincho Light"/>
      <w:lang w:val="en-GB" w:eastAsia="ja-JP"/>
    </w:rPr>
  </w:style>
  <w:style w:type="character" w:customStyle="1" w:styleId="61">
    <w:name w:val="TAL Char"/>
    <w:qFormat/>
    <w:uiPriority w:val="0"/>
    <w:rPr>
      <w:rFonts w:ascii="Courier New" w:hAnsi="Courier New" w:eastAsia="Yu Mincho Light"/>
      <w:sz w:val="18"/>
      <w:lang w:val="en-GB" w:eastAsia="zh-CN"/>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3">
    <w:name w:val="Doc-title"/>
    <w:basedOn w:val="1"/>
    <w:next w:val="64"/>
    <w:link w:val="66"/>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4">
    <w:name w:val="Doc-text2"/>
    <w:basedOn w:val="1"/>
    <w:link w:val="65"/>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5">
    <w:name w:val="Doc-text2 Char"/>
    <w:link w:val="64"/>
    <w:qFormat/>
    <w:uiPriority w:val="0"/>
    <w:rPr>
      <w:rFonts w:ascii="Courier New" w:hAnsi="Courier New" w:eastAsia="Courier New"/>
      <w:szCs w:val="24"/>
      <w:lang w:eastAsia="en-GB"/>
    </w:rPr>
  </w:style>
  <w:style w:type="character" w:customStyle="1" w:styleId="66">
    <w:name w:val="Doc-title Char"/>
    <w:link w:val="63"/>
    <w:qFormat/>
    <w:uiPriority w:val="0"/>
    <w:rPr>
      <w:rFonts w:ascii="Courier New" w:hAnsi="Courier New" w:eastAsia="Courier New"/>
      <w:szCs w:val="24"/>
      <w:lang w:eastAsia="en-GB"/>
    </w:rPr>
  </w:style>
  <w:style w:type="paragraph" w:customStyle="1" w:styleId="67">
    <w:name w:val="EmailDiscussion2"/>
    <w:basedOn w:val="64"/>
    <w:qFormat/>
    <w:uiPriority w:val="0"/>
  </w:style>
  <w:style w:type="paragraph" w:customStyle="1" w:styleId="68">
    <w:name w:val="H6"/>
    <w:basedOn w:val="6"/>
    <w:next w:val="1"/>
    <w:link w:val="69"/>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9">
    <w:name w:val="H6 Char"/>
    <w:link w:val="68"/>
    <w:qFormat/>
    <w:uiPriority w:val="0"/>
    <w:rPr>
      <w:rFonts w:ascii="Courier New" w:hAnsi="Courier New" w:eastAsia="Yu Mincho Light"/>
      <w:lang w:val="en-GB" w:eastAsia="en-US"/>
    </w:rPr>
  </w:style>
  <w:style w:type="paragraph" w:customStyle="1" w:styleId="70">
    <w:name w:val="NO"/>
    <w:basedOn w:val="1"/>
    <w:link w:val="71"/>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1">
    <w:name w:val="NO Char1"/>
    <w:link w:val="70"/>
    <w:qFormat/>
    <w:uiPriority w:val="0"/>
    <w:rPr>
      <w:rFonts w:ascii="Times New Roman" w:hAnsi="Times New Roman" w:eastAsia="Times New Roman"/>
      <w:lang w:val="en-GB"/>
    </w:rPr>
  </w:style>
  <w:style w:type="character" w:customStyle="1" w:styleId="72">
    <w:name w:val="页眉 Char"/>
    <w:qFormat/>
    <w:uiPriority w:val="0"/>
    <w:rPr>
      <w:rFonts w:ascii="Courier New" w:hAnsi="Courier New"/>
      <w:b/>
      <w:sz w:val="18"/>
      <w:lang w:eastAsia="en-US"/>
    </w:rPr>
  </w:style>
  <w:style w:type="paragraph" w:customStyle="1" w:styleId="73">
    <w:name w:val="CR Cover Page"/>
    <w:link w:val="74"/>
    <w:qFormat/>
    <w:uiPriority w:val="0"/>
    <w:pPr>
      <w:spacing w:after="120"/>
    </w:pPr>
    <w:rPr>
      <w:rFonts w:ascii="Arial" w:hAnsi="Arial" w:eastAsia="Courier New" w:cs="Cambria Math"/>
      <w:lang w:val="en-GB" w:eastAsia="en-US" w:bidi="ar-SA"/>
    </w:rPr>
  </w:style>
  <w:style w:type="character" w:customStyle="1" w:styleId="74">
    <w:name w:val="CR Cover Page Char"/>
    <w:link w:val="73"/>
    <w:qFormat/>
    <w:uiPriority w:val="0"/>
    <w:rPr>
      <w:rFonts w:ascii="Arial" w:hAnsi="Arial" w:eastAsia="Courier New" w:cs="Cambria Math"/>
      <w:lang w:val="en-GB" w:eastAsia="en-US" w:bidi="ar-SA"/>
    </w:rPr>
  </w:style>
  <w:style w:type="paragraph" w:styleId="75">
    <w:name w:val="List Paragraph"/>
    <w:basedOn w:val="1"/>
    <w:link w:val="76"/>
    <w:qFormat/>
    <w:uiPriority w:val="34"/>
    <w:pPr>
      <w:ind w:firstLine="420" w:firstLineChars="200"/>
    </w:pPr>
    <w:rPr>
      <w:rFonts w:eastAsia="Times New Roman" w:cs="宋体"/>
    </w:rPr>
  </w:style>
  <w:style w:type="character" w:customStyle="1" w:styleId="76">
    <w:name w:val="列表段落 字符"/>
    <w:link w:val="75"/>
    <w:qFormat/>
    <w:locked/>
    <w:uiPriority w:val="34"/>
    <w:rPr>
      <w:rFonts w:ascii="Times New Roman" w:hAnsi="Times New Roman" w:eastAsia="Times New Roman" w:cs="宋体"/>
      <w:sz w:val="24"/>
      <w:szCs w:val="24"/>
    </w:rPr>
  </w:style>
  <w:style w:type="paragraph" w:customStyle="1" w:styleId="77">
    <w:name w:val="修订1"/>
    <w:hidden/>
    <w:qFormat/>
    <w:uiPriority w:val="62"/>
    <w:rPr>
      <w:rFonts w:ascii="Times New Roman" w:hAnsi="Times New Roman" w:cs="Times New Roman" w:eastAsiaTheme="minorEastAsia"/>
      <w:sz w:val="24"/>
      <w:szCs w:val="24"/>
      <w:lang w:val="en-US" w:eastAsia="zh-CN" w:bidi="ar-SA"/>
    </w:rPr>
  </w:style>
  <w:style w:type="paragraph" w:customStyle="1" w:styleId="78">
    <w:name w:val="正文1"/>
    <w:qFormat/>
    <w:uiPriority w:val="0"/>
    <w:pPr>
      <w:jc w:val="both"/>
    </w:pPr>
    <w:rPr>
      <w:rFonts w:ascii="Times New Roman" w:hAnsi="Times New Roman" w:eastAsia="宋体" w:cs="Times New Roman"/>
      <w:kern w:val="2"/>
      <w:sz w:val="21"/>
      <w:szCs w:val="21"/>
      <w:lang w:val="en-US" w:eastAsia="zh-CN" w:bidi="ar-SA"/>
    </w:rPr>
  </w:style>
  <w:style w:type="character" w:styleId="79">
    <w:name w:val="Placeholder Text"/>
    <w:basedOn w:val="22"/>
    <w:unhideWhenUsed/>
    <w:qFormat/>
    <w:uiPriority w:val="99"/>
    <w:rPr>
      <w:color w:val="808080"/>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 w:type="paragraph" w:customStyle="1" w:styleId="82">
    <w:name w:val="Proposal"/>
    <w:basedOn w:val="1"/>
    <w:link w:val="83"/>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3">
    <w:name w:val="Proposal Char"/>
    <w:link w:val="82"/>
    <w:qFormat/>
    <w:uiPriority w:val="0"/>
    <w:rPr>
      <w:rFonts w:ascii="Arial" w:hAnsi="Arial" w:eastAsia="宋体"/>
      <w:b/>
      <w:bCs/>
      <w:lang w:val="en-GB"/>
    </w:rPr>
  </w:style>
  <w:style w:type="character" w:customStyle="1" w:styleId="84">
    <w:name w:val="normaltextrun"/>
    <w:basedOn w:val="22"/>
    <w:qFormat/>
    <w:uiPriority w:val="0"/>
  </w:style>
  <w:style w:type="paragraph" w:customStyle="1" w:styleId="85">
    <w:name w:val="Comments"/>
    <w:basedOn w:val="1"/>
    <w:link w:val="86"/>
    <w:qFormat/>
    <w:uiPriority w:val="0"/>
    <w:pPr>
      <w:spacing w:before="40"/>
    </w:pPr>
    <w:rPr>
      <w:rFonts w:ascii="Arial" w:hAnsi="Arial" w:eastAsia="MS Mincho"/>
      <w:i/>
      <w:sz w:val="18"/>
      <w:lang w:val="en-GB" w:eastAsia="en-GB"/>
    </w:rPr>
  </w:style>
  <w:style w:type="character" w:customStyle="1" w:styleId="86">
    <w:name w:val="Comments Char"/>
    <w:link w:val="85"/>
    <w:qFormat/>
    <w:uiPriority w:val="0"/>
    <w:rPr>
      <w:rFonts w:ascii="Arial" w:hAnsi="Arial" w:eastAsia="MS Mincho"/>
      <w:i/>
      <w:sz w:val="18"/>
      <w:szCs w:val="24"/>
      <w:lang w:val="en-GB" w:eastAsia="en-GB"/>
    </w:rPr>
  </w:style>
  <w:style w:type="paragraph" w:customStyle="1" w:styleId="87">
    <w:name w:val="B2"/>
    <w:basedOn w:val="13"/>
    <w:link w:val="89"/>
    <w:qFormat/>
    <w:uiPriority w:val="0"/>
    <w:pPr>
      <w:overflowPunct w:val="0"/>
      <w:autoSpaceDE w:val="0"/>
      <w:autoSpaceDN w:val="0"/>
      <w:adjustRightInd w:val="0"/>
      <w:spacing w:after="180"/>
      <w:ind w:left="851" w:leftChars="0" w:hanging="284" w:firstLineChars="0"/>
      <w:contextualSpacing w:val="0"/>
      <w:textAlignment w:val="baseline"/>
    </w:pPr>
    <w:rPr>
      <w:rFonts w:eastAsia="Times New Roman"/>
      <w:sz w:val="20"/>
      <w:szCs w:val="20"/>
      <w:lang w:val="en-GB" w:eastAsia="en-GB"/>
    </w:rPr>
  </w:style>
  <w:style w:type="character" w:customStyle="1" w:styleId="88">
    <w:name w:val="NO Char"/>
    <w:qFormat/>
    <w:uiPriority w:val="0"/>
    <w:rPr>
      <w:rFonts w:eastAsia="Times New Roman"/>
      <w:lang w:val="en-GB" w:eastAsia="en-GB"/>
    </w:rPr>
  </w:style>
  <w:style w:type="character" w:customStyle="1" w:styleId="89">
    <w:name w:val="B2 Char"/>
    <w:basedOn w:val="22"/>
    <w:link w:val="87"/>
    <w:qFormat/>
    <w:uiPriority w:val="0"/>
    <w:rPr>
      <w:rFonts w:ascii="Times New Roman" w:hAnsi="Times New Roman" w:eastAsia="Times New Roman"/>
      <w:lang w:val="en-GB" w:eastAsia="en-GB"/>
    </w:rPr>
  </w:style>
  <w:style w:type="paragraph" w:customStyle="1" w:styleId="90">
    <w:name w:val="EQ"/>
    <w:basedOn w:val="1"/>
    <w:next w:val="1"/>
    <w:qFormat/>
    <w:uiPriority w:val="0"/>
    <w:pPr>
      <w:keepLines/>
      <w:tabs>
        <w:tab w:val="center" w:pos="4536"/>
        <w:tab w:val="right" w:pos="9072"/>
      </w:tabs>
    </w:pPr>
  </w:style>
  <w:style w:type="paragraph" w:customStyle="1" w:styleId="91">
    <w:name w:val="RAN4 proposal"/>
    <w:basedOn w:val="10"/>
    <w:next w:val="1"/>
    <w:qFormat/>
    <w:uiPriority w:val="0"/>
    <w:pPr>
      <w:numPr>
        <w:ilvl w:val="0"/>
        <w:numId w:val="3"/>
      </w:numPr>
      <w:ind w:left="0" w:firstLine="0"/>
      <w:jc w:val="left"/>
    </w:pPr>
    <w:rPr>
      <w:rFonts w:ascii="Times New Roman" w:hAnsi="Times New Roman"/>
      <w:sz w:val="20"/>
    </w:rPr>
  </w:style>
  <w:style w:type="paragraph" w:customStyle="1" w:styleId="92">
    <w:name w:val="Agreement"/>
    <w:basedOn w:val="1"/>
    <w:next w:val="64"/>
    <w:qFormat/>
    <w:uiPriority w:val="0"/>
    <w:pPr>
      <w:numPr>
        <w:ilvl w:val="0"/>
        <w:numId w:val="4"/>
      </w:numPr>
      <w:tabs>
        <w:tab w:val="left" w:pos="1619"/>
        <w:tab w:val="clear" w:pos="359"/>
      </w:tabs>
      <w:spacing w:before="60"/>
    </w:pPr>
    <w:rPr>
      <w:b/>
    </w:rPr>
  </w:style>
  <w:style w:type="character" w:customStyle="1" w:styleId="93">
    <w:name w:val="10"/>
    <w:basedOn w:val="22"/>
    <w:qFormat/>
    <w:uiPriority w:val="0"/>
    <w:rPr>
      <w:rFonts w:hint="default" w:ascii="Times New Roman" w:hAnsi="Times New Roman" w:cs="Times New Roman"/>
    </w:rPr>
  </w:style>
  <w:style w:type="character" w:customStyle="1" w:styleId="94">
    <w:name w:val="15"/>
    <w:basedOn w:val="22"/>
    <w:qFormat/>
    <w:uiPriority w:val="0"/>
    <w:rPr>
      <w:rFonts w:hint="default" w:ascii="Times New Roman" w:hAnsi="Times New Roman" w:cs="Times New Roman"/>
    </w:rPr>
  </w:style>
  <w:style w:type="character" w:customStyle="1" w:styleId="95">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3418</Words>
  <Characters>19486</Characters>
  <Lines>162</Lines>
  <Paragraphs>45</Paragraphs>
  <TotalTime>1</TotalTime>
  <ScaleCrop>false</ScaleCrop>
  <LinksUpToDate>false</LinksUpToDate>
  <CharactersWithSpaces>22859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2024-10-06T10:36:51Z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34D6510157444E8DA08695970280360A</vt:lpwstr>
  </property>
</Properties>
</file>